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A502" w14:textId="2C3D00C7" w:rsidR="00C96B21" w:rsidRPr="00012905" w:rsidRDefault="00D56A4A" w:rsidP="00BA0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1290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Procès-verbal du</w:t>
      </w:r>
      <w:r w:rsidR="00C96B21" w:rsidRPr="0001290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conseil municipal du </w:t>
      </w:r>
      <w:r w:rsidR="00C96B21" w:rsidRPr="00A86C6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vendredi </w:t>
      </w:r>
      <w:r w:rsidR="001722C1" w:rsidRPr="00A86C6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7 avril</w:t>
      </w:r>
      <w:r w:rsidR="009D2813" w:rsidRPr="00A86C6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476F85" w:rsidRPr="00A86C6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2023</w:t>
      </w:r>
    </w:p>
    <w:p w14:paraId="2291A8A2" w14:textId="77777777" w:rsidR="008E64F6" w:rsidRPr="00937B3F" w:rsidRDefault="008E64F6" w:rsidP="00BA0D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71C3195C" w14:textId="77777777" w:rsidR="00C96B21" w:rsidRPr="003E2B5F" w:rsidRDefault="00C96B21" w:rsidP="00BA0D7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07C711F9" w14:textId="248469B9" w:rsidR="00476F85" w:rsidRPr="00656B3F" w:rsidRDefault="00C96B21" w:rsidP="00BA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16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Présents </w:t>
      </w:r>
      <w:r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6F0D13"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>Marjolaine Girault</w:t>
      </w:r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((</w:t>
      </w:r>
      <w:r w:rsidR="006F0D13" w:rsidRPr="006F0D1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Procuration de Brigitte </w:t>
      </w:r>
      <w:proofErr w:type="spellStart"/>
      <w:r w:rsidR="006F0D13" w:rsidRPr="006F0D1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Biernat</w:t>
      </w:r>
      <w:proofErr w:type="spellEnd"/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6F0D13"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Alain Croissy, </w:t>
      </w:r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Claude </w:t>
      </w:r>
      <w:proofErr w:type="spellStart"/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>Delemontez</w:t>
      </w:r>
      <w:proofErr w:type="spellEnd"/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6F0D13" w:rsidRPr="00B26A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Yannick </w:t>
      </w:r>
      <w:proofErr w:type="spellStart"/>
      <w:r w:rsidR="006F0D13" w:rsidRPr="00B26A35">
        <w:rPr>
          <w:rFonts w:ascii="Times New Roman" w:eastAsia="Times New Roman" w:hAnsi="Times New Roman" w:cs="Times New Roman"/>
          <w:sz w:val="24"/>
          <w:szCs w:val="24"/>
          <w:lang w:eastAsia="fr-FR"/>
        </w:rPr>
        <w:t>Ghesquiere</w:t>
      </w:r>
      <w:proofErr w:type="spellEnd"/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6F0D13" w:rsidRPr="006F0D1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procuration de Didier </w:t>
      </w:r>
      <w:proofErr w:type="spellStart"/>
      <w:r w:rsidR="006F0D13" w:rsidRPr="006F0D1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Mantz</w:t>
      </w:r>
      <w:proofErr w:type="spellEnd"/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295087"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CD6B86"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 </w:t>
      </w:r>
      <w:r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Michel </w:t>
      </w:r>
      <w:proofErr w:type="spellStart"/>
      <w:r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>Palliot</w:t>
      </w:r>
      <w:proofErr w:type="spellEnd"/>
      <w:r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51F9B733" w14:textId="57724CB1" w:rsidR="00476F85" w:rsidRPr="00221670" w:rsidRDefault="00476F85" w:rsidP="00BA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F8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Absent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Brigitte </w:t>
      </w:r>
      <w:proofErr w:type="spellStart"/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>Biernat</w:t>
      </w:r>
      <w:proofErr w:type="spellEnd"/>
      <w:r w:rsidR="006F0D13" w:rsidRPr="009D28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D281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9D2813" w:rsidRPr="006F0D1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procuration à </w:t>
      </w:r>
      <w:r w:rsidR="006F0D13" w:rsidRPr="006F0D1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Marjolaine Girault</w:t>
      </w:r>
      <w:r w:rsidR="009D281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9D2813" w:rsidRPr="009D28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D2813"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Hubert </w:t>
      </w:r>
      <w:proofErr w:type="spellStart"/>
      <w:r w:rsidR="009D2813"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>Debedde</w:t>
      </w:r>
      <w:proofErr w:type="spellEnd"/>
      <w:r w:rsidR="009D2813"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9D2813" w:rsidRPr="009D28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Didier </w:t>
      </w:r>
      <w:proofErr w:type="spellStart"/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>Mantz</w:t>
      </w:r>
      <w:proofErr w:type="spellEnd"/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6F0D13" w:rsidRPr="006F0D1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procuration à Yannick </w:t>
      </w:r>
      <w:proofErr w:type="spellStart"/>
      <w:r w:rsidR="006F0D13" w:rsidRPr="006F0D1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Ghesquiere</w:t>
      </w:r>
      <w:proofErr w:type="spellEnd"/>
      <w:r w:rsidR="006F0D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r w:rsidR="009D2813"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 Christophe </w:t>
      </w:r>
      <w:proofErr w:type="spellStart"/>
      <w:r w:rsidR="009D2813"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>Monferran</w:t>
      </w:r>
      <w:proofErr w:type="spellEnd"/>
    </w:p>
    <w:p w14:paraId="7131083F" w14:textId="77777777" w:rsidR="00C96B21" w:rsidRPr="003E2B5F" w:rsidRDefault="00C96B21" w:rsidP="00BA0D7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091BB71A" w14:textId="09403986" w:rsidR="00137745" w:rsidRPr="004D6C6D" w:rsidRDefault="001B4BA8" w:rsidP="00BA0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5 présents plus </w:t>
      </w:r>
      <w:r w:rsidR="006F0D1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deux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6F0D1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procurations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  <w:r w:rsidR="009D281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9D2813" w:rsidRPr="00A86C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soit </w:t>
      </w:r>
      <w:r w:rsidR="006F0D13" w:rsidRPr="00A86C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</w:t>
      </w:r>
      <w:r w:rsidR="009D2813" w:rsidRPr="00A86C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4D6C6D" w:rsidRPr="00A86C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vot</w:t>
      </w:r>
      <w:r w:rsidRPr="00A86C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="009D2813" w:rsidRPr="00A86C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nt</w:t>
      </w:r>
      <w:r w:rsidRPr="00A86C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="00991F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48FF1F8D" w14:textId="77777777" w:rsidR="008E64F6" w:rsidRPr="004D6C6D" w:rsidRDefault="008E64F6" w:rsidP="00BA0D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392A330B" w14:textId="05DEB80E" w:rsidR="009D2813" w:rsidRDefault="00C96B21" w:rsidP="00BA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maire Jean Michel </w:t>
      </w:r>
      <w:proofErr w:type="spellStart"/>
      <w:r w:rsidR="00476F85">
        <w:rPr>
          <w:rFonts w:ascii="Times New Roman" w:eastAsia="Times New Roman" w:hAnsi="Times New Roman" w:cs="Times New Roman"/>
          <w:sz w:val="24"/>
          <w:szCs w:val="24"/>
          <w:lang w:eastAsia="fr-FR"/>
        </w:rPr>
        <w:t>Palliot</w:t>
      </w:r>
      <w:proofErr w:type="spellEnd"/>
      <w:r w:rsidR="00476F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ouvre le conseil à 1</w:t>
      </w:r>
      <w:r w:rsidR="009D2813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456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 </w:t>
      </w:r>
      <w:r w:rsidR="009D2813">
        <w:rPr>
          <w:rFonts w:ascii="Times New Roman" w:eastAsia="Times New Roman" w:hAnsi="Times New Roman" w:cs="Times New Roman"/>
          <w:sz w:val="24"/>
          <w:szCs w:val="24"/>
          <w:lang w:eastAsia="fr-FR"/>
        </w:rPr>
        <w:t>00</w:t>
      </w:r>
    </w:p>
    <w:p w14:paraId="057B693B" w14:textId="3C31067B" w:rsidR="00D503E5" w:rsidRPr="00221670" w:rsidRDefault="00D503E5" w:rsidP="00BA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propose de rajouter</w:t>
      </w:r>
      <w:r w:rsidR="004667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 point</w:t>
      </w:r>
      <w:r w:rsidR="0046670D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</w:t>
      </w:r>
      <w:r w:rsidR="006A3DB3">
        <w:rPr>
          <w:rFonts w:ascii="Times New Roman" w:eastAsia="Times New Roman" w:hAnsi="Times New Roman" w:cs="Times New Roman"/>
          <w:sz w:val="24"/>
          <w:szCs w:val="24"/>
          <w:lang w:eastAsia="fr-FR"/>
        </w:rPr>
        <w:t>ordre du jour, les subventions aux associations, et le montant des taxes des habitations secondaires. Les conseillers présents acceptent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3B27472" w14:textId="77777777" w:rsidR="006A3DB3" w:rsidRPr="006A3DB3" w:rsidRDefault="006A3DB3" w:rsidP="00D503E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0FF84E19" w14:textId="34FA9A8F" w:rsidR="0045649B" w:rsidRDefault="00C96B21" w:rsidP="00D5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1670">
        <w:rPr>
          <w:rFonts w:ascii="Times New Roman" w:eastAsia="Times New Roman" w:hAnsi="Times New Roman" w:cs="Times New Roman"/>
          <w:sz w:val="24"/>
          <w:szCs w:val="24"/>
          <w:lang w:eastAsia="fr-FR"/>
        </w:rPr>
        <w:t>Le secrétaire de séance est Alain Croissy</w:t>
      </w:r>
    </w:p>
    <w:p w14:paraId="10D99024" w14:textId="77777777" w:rsidR="00D503E5" w:rsidRPr="006A3DB3" w:rsidRDefault="00D503E5" w:rsidP="00D503E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287A527E" w14:textId="2E49E1CA" w:rsidR="009D2813" w:rsidRDefault="00BC0731" w:rsidP="00D50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Préalable à </w:t>
      </w:r>
      <w:r w:rsidR="006F0D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 présentation du budget 2023</w:t>
      </w:r>
    </w:p>
    <w:p w14:paraId="5A1A5190" w14:textId="3EF27C1A" w:rsidR="008D553D" w:rsidRDefault="009D2813" w:rsidP="00BA0D7B">
      <w:pPr>
        <w:pStyle w:val="Standard"/>
        <w:spacing w:after="6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Pour ouvrir la présentation </w:t>
      </w:r>
      <w:r w:rsidR="006F0D13">
        <w:rPr>
          <w:rFonts w:ascii="Times New Roman" w:hAnsi="Times New Roman" w:cs="Times New Roman"/>
          <w:bCs/>
        </w:rPr>
        <w:t xml:space="preserve">de la proposition de budget </w:t>
      </w:r>
      <w:r w:rsidR="00EA0516">
        <w:rPr>
          <w:rFonts w:ascii="Times New Roman" w:hAnsi="Times New Roman" w:cs="Times New Roman"/>
          <w:bCs/>
        </w:rPr>
        <w:t>2023</w:t>
      </w:r>
      <w:r w:rsidR="00EA0516">
        <w:rPr>
          <w:rFonts w:ascii="Times New Roman" w:hAnsi="Times New Roman" w:cs="Times New Roman"/>
          <w:bCs/>
          <w:u w:val="single"/>
        </w:rPr>
        <w:t xml:space="preserve"> </w:t>
      </w:r>
      <w:r w:rsidR="00EA0516">
        <w:rPr>
          <w:rFonts w:ascii="Times New Roman" w:hAnsi="Times New Roman" w:cs="Times New Roman"/>
          <w:bCs/>
        </w:rPr>
        <w:t>Alain</w:t>
      </w:r>
      <w:r>
        <w:rPr>
          <w:rFonts w:ascii="Times New Roman" w:hAnsi="Times New Roman" w:cs="Times New Roman"/>
          <w:bCs/>
        </w:rPr>
        <w:t xml:space="preserve"> Croissy </w:t>
      </w:r>
      <w:r w:rsidR="006F0D13">
        <w:rPr>
          <w:rFonts w:ascii="Times New Roman" w:hAnsi="Times New Roman" w:cs="Times New Roman"/>
          <w:bCs/>
        </w:rPr>
        <w:t>présentent</w:t>
      </w:r>
      <w:r>
        <w:rPr>
          <w:rFonts w:ascii="Times New Roman" w:hAnsi="Times New Roman" w:cs="Times New Roman"/>
          <w:bCs/>
        </w:rPr>
        <w:t xml:space="preserve"> </w:t>
      </w:r>
      <w:r w:rsidR="00BC0731">
        <w:rPr>
          <w:rFonts w:ascii="Times New Roman" w:hAnsi="Times New Roman" w:cs="Times New Roman"/>
          <w:bCs/>
        </w:rPr>
        <w:t>les</w:t>
      </w:r>
      <w:r>
        <w:rPr>
          <w:rFonts w:ascii="Times New Roman" w:hAnsi="Times New Roman" w:cs="Times New Roman"/>
          <w:bCs/>
        </w:rPr>
        <w:t xml:space="preserve"> </w:t>
      </w:r>
      <w:r w:rsidR="006F0D13">
        <w:rPr>
          <w:rFonts w:ascii="Times New Roman" w:hAnsi="Times New Roman" w:cs="Times New Roman"/>
          <w:bCs/>
        </w:rPr>
        <w:t xml:space="preserve">2 </w:t>
      </w:r>
      <w:r>
        <w:rPr>
          <w:rFonts w:ascii="Times New Roman" w:hAnsi="Times New Roman" w:cs="Times New Roman"/>
          <w:bCs/>
        </w:rPr>
        <w:t>tableau</w:t>
      </w:r>
      <w:r w:rsidR="00BC0731">
        <w:rPr>
          <w:rFonts w:ascii="Times New Roman" w:hAnsi="Times New Roman" w:cs="Times New Roman"/>
          <w:bCs/>
        </w:rPr>
        <w:t>x</w:t>
      </w:r>
      <w:r>
        <w:rPr>
          <w:rFonts w:ascii="Times New Roman" w:hAnsi="Times New Roman" w:cs="Times New Roman"/>
          <w:bCs/>
        </w:rPr>
        <w:t xml:space="preserve"> qui récapitule</w:t>
      </w:r>
      <w:r w:rsidR="00BC0731">
        <w:rPr>
          <w:rFonts w:ascii="Times New Roman" w:hAnsi="Times New Roman" w:cs="Times New Roman"/>
          <w:bCs/>
        </w:rPr>
        <w:t xml:space="preserve">nt et </w:t>
      </w:r>
      <w:r w:rsidR="00C92409">
        <w:rPr>
          <w:rFonts w:ascii="Times New Roman" w:hAnsi="Times New Roman" w:cs="Times New Roman"/>
          <w:bCs/>
        </w:rPr>
        <w:t>synthétisent les</w:t>
      </w:r>
      <w:r>
        <w:rPr>
          <w:rFonts w:ascii="Times New Roman" w:hAnsi="Times New Roman" w:cs="Times New Roman"/>
          <w:bCs/>
        </w:rPr>
        <w:t xml:space="preserve"> dépenses</w:t>
      </w:r>
      <w:r w:rsidR="00BC0731">
        <w:rPr>
          <w:rFonts w:ascii="Times New Roman" w:hAnsi="Times New Roman" w:cs="Times New Roman"/>
          <w:bCs/>
        </w:rPr>
        <w:t xml:space="preserve"> et les recettes</w:t>
      </w:r>
      <w:r>
        <w:rPr>
          <w:rFonts w:ascii="Times New Roman" w:hAnsi="Times New Roman" w:cs="Times New Roman"/>
          <w:bCs/>
        </w:rPr>
        <w:t xml:space="preserve">, par ligne budgétaire, </w:t>
      </w:r>
      <w:r w:rsidR="006F0D13">
        <w:rPr>
          <w:rFonts w:ascii="Times New Roman" w:hAnsi="Times New Roman" w:cs="Times New Roman"/>
          <w:bCs/>
        </w:rPr>
        <w:t>qui sont proposées pour le budget de l’année 2023</w:t>
      </w:r>
      <w:r>
        <w:rPr>
          <w:rFonts w:ascii="Times New Roman" w:hAnsi="Times New Roman" w:cs="Times New Roman"/>
          <w:bCs/>
        </w:rPr>
        <w:t xml:space="preserve">. </w:t>
      </w:r>
    </w:p>
    <w:p w14:paraId="789EF34B" w14:textId="49F5AD3B" w:rsidR="00440552" w:rsidRPr="00937B3F" w:rsidRDefault="00BC0731" w:rsidP="00937B3F">
      <w:pPr>
        <w:pStyle w:val="Standard"/>
        <w:spacing w:after="6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présente également un troisième fichier</w:t>
      </w:r>
      <w:r w:rsidR="008D553D">
        <w:rPr>
          <w:rFonts w:ascii="Times New Roman" w:hAnsi="Times New Roman" w:cs="Times New Roman"/>
          <w:bCs/>
        </w:rPr>
        <w:t xml:space="preserve"> </w:t>
      </w:r>
      <w:r w:rsidR="001B4BA8">
        <w:rPr>
          <w:rFonts w:ascii="Times New Roman" w:hAnsi="Times New Roman" w:cs="Times New Roman"/>
          <w:bCs/>
        </w:rPr>
        <w:t>qui développe le</w:t>
      </w:r>
      <w:r w:rsidR="008D553D">
        <w:rPr>
          <w:rFonts w:ascii="Times New Roman" w:hAnsi="Times New Roman" w:cs="Times New Roman"/>
          <w:bCs/>
        </w:rPr>
        <w:t xml:space="preserve"> plan d’investissement </w:t>
      </w:r>
      <w:r w:rsidR="006F0D13">
        <w:rPr>
          <w:rFonts w:ascii="Times New Roman" w:hAnsi="Times New Roman" w:cs="Times New Roman"/>
          <w:bCs/>
        </w:rPr>
        <w:t>proposé pour 2023</w:t>
      </w:r>
      <w:r w:rsidR="00937B3F">
        <w:rPr>
          <w:rFonts w:ascii="Times New Roman" w:hAnsi="Times New Roman" w:cs="Times New Roman"/>
          <w:bCs/>
        </w:rPr>
        <w:t>.</w:t>
      </w:r>
    </w:p>
    <w:tbl>
      <w:tblPr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2479"/>
        <w:gridCol w:w="2048"/>
        <w:gridCol w:w="961"/>
        <w:gridCol w:w="786"/>
      </w:tblGrid>
      <w:tr w:rsidR="00937B3F" w:rsidRPr="00937B3F" w14:paraId="680D5CEE" w14:textId="77777777" w:rsidTr="00937B3F">
        <w:trPr>
          <w:trHeight w:val="324"/>
        </w:trPr>
        <w:tc>
          <w:tcPr>
            <w:tcW w:w="93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92F02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37B3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Budget prévisionnel 2023</w:t>
            </w:r>
          </w:p>
        </w:tc>
      </w:tr>
      <w:tr w:rsidR="00937B3F" w:rsidRPr="00937B3F" w14:paraId="5C9AEF73" w14:textId="77777777" w:rsidTr="00937B3F">
        <w:trPr>
          <w:trHeight w:val="360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0461" w14:textId="7A674EB3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E8FC" w14:textId="77777777" w:rsidR="00937B3F" w:rsidRPr="006444A4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Dépenses estimées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D07" w14:textId="68431CA4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30B72" w14:textId="71AEA3E8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937B3F" w:rsidRPr="00937B3F" w14:paraId="575471AF" w14:textId="77777777" w:rsidTr="00937B3F">
        <w:trPr>
          <w:trHeight w:val="624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337" w14:textId="77777777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Libellé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3929" w14:textId="77777777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Budget 2022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E1D" w14:textId="148E1C66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Dépense</w:t>
            </w:r>
            <w:r w:rsidR="00B23104">
              <w:rPr>
                <w:rFonts w:eastAsia="Times New Roman"/>
                <w:color w:val="000000"/>
                <w:lang w:eastAsia="fr-FR"/>
              </w:rPr>
              <w:t>s</w:t>
            </w:r>
            <w:r w:rsidRPr="00937B3F">
              <w:rPr>
                <w:rFonts w:eastAsia="Times New Roman"/>
                <w:color w:val="000000"/>
                <w:lang w:eastAsia="fr-FR"/>
              </w:rPr>
              <w:t xml:space="preserve"> 2022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5A6EAA" w14:textId="50D55C7A" w:rsidR="00937B3F" w:rsidRPr="006444A4" w:rsidRDefault="00937B3F" w:rsidP="006A3D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 xml:space="preserve">Proposition </w:t>
            </w:r>
            <w:r w:rsidR="006444A4">
              <w:rPr>
                <w:rFonts w:eastAsia="Times New Roman"/>
                <w:b/>
                <w:color w:val="000000"/>
                <w:lang w:eastAsia="fr-FR"/>
              </w:rPr>
              <w:t>Dépenses</w:t>
            </w:r>
            <w:r w:rsidRPr="006444A4">
              <w:rPr>
                <w:rFonts w:eastAsia="Times New Roman"/>
                <w:b/>
                <w:color w:val="000000"/>
                <w:lang w:eastAsia="fr-FR"/>
              </w:rPr>
              <w:t xml:space="preserve"> 2023</w:t>
            </w:r>
          </w:p>
        </w:tc>
      </w:tr>
      <w:tr w:rsidR="00937B3F" w:rsidRPr="00937B3F" w14:paraId="5668D547" w14:textId="77777777" w:rsidTr="00937B3F">
        <w:trPr>
          <w:trHeight w:val="312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1F37" w14:textId="77777777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Achat et variation des stocks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563F" w14:textId="5B85E9BA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89 580,00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A3D9" w14:textId="16FC377F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85 013,70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1BAA81" w14:textId="64E9C85E" w:rsidR="00937B3F" w:rsidRPr="006444A4" w:rsidRDefault="00937B3F" w:rsidP="006A3D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81 982,41</w:t>
            </w:r>
          </w:p>
        </w:tc>
      </w:tr>
      <w:tr w:rsidR="00937B3F" w:rsidRPr="00937B3F" w14:paraId="396B53E4" w14:textId="77777777" w:rsidTr="00937B3F">
        <w:trPr>
          <w:trHeight w:val="624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EA66" w14:textId="77777777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Charges de personnel et</w:t>
            </w:r>
            <w:r w:rsidRPr="00937B3F">
              <w:rPr>
                <w:rFonts w:eastAsia="Times New Roman"/>
                <w:color w:val="000000"/>
                <w:lang w:eastAsia="fr-FR"/>
              </w:rPr>
              <w:br/>
              <w:t>Frais assimilés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0A39" w14:textId="0479DF3C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134 210,04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E4E8" w14:textId="08A8B212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134 626,85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655499" w14:textId="4AC414F6" w:rsidR="00937B3F" w:rsidRPr="006444A4" w:rsidRDefault="00937B3F" w:rsidP="006A3D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132 212,10</w:t>
            </w:r>
          </w:p>
        </w:tc>
      </w:tr>
      <w:tr w:rsidR="00937B3F" w:rsidRPr="00937B3F" w14:paraId="759FA06A" w14:textId="77777777" w:rsidTr="00937B3F">
        <w:trPr>
          <w:trHeight w:val="312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14A" w14:textId="77777777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Atténuations de produits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E51" w14:textId="3EBB60CC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32 754,00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B9E" w14:textId="24CE8452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32 754,00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C46691" w14:textId="21B6F889" w:rsidR="00937B3F" w:rsidRPr="006444A4" w:rsidRDefault="00937B3F" w:rsidP="006A3DB3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6444A4">
              <w:rPr>
                <w:rFonts w:eastAsia="Times New Roman"/>
                <w:b/>
                <w:lang w:eastAsia="fr-FR"/>
              </w:rPr>
              <w:t>32 754,00</w:t>
            </w:r>
          </w:p>
        </w:tc>
      </w:tr>
      <w:tr w:rsidR="00937B3F" w:rsidRPr="00937B3F" w14:paraId="129FA83C" w14:textId="77777777" w:rsidTr="00937B3F">
        <w:trPr>
          <w:trHeight w:val="624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F740" w14:textId="77777777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Autres charges de gestion courante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05BA" w14:textId="7D014EA8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58 700,00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823F" w14:textId="6F333E14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51 306,85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805DE9" w14:textId="1BE17AC1" w:rsidR="00937B3F" w:rsidRPr="006444A4" w:rsidRDefault="00937B3F" w:rsidP="006A3D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55 600,00</w:t>
            </w:r>
          </w:p>
        </w:tc>
      </w:tr>
      <w:tr w:rsidR="00937B3F" w:rsidRPr="00937B3F" w14:paraId="63DC4E66" w14:textId="77777777" w:rsidTr="00937B3F">
        <w:trPr>
          <w:trHeight w:val="312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D18D" w14:textId="77777777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Charges financières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DA34" w14:textId="0CA2C9BB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1 000,00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B768" w14:textId="174D3FE7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1 140,66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500BAA" w14:textId="0999457B" w:rsidR="00937B3F" w:rsidRPr="006444A4" w:rsidRDefault="00937B3F" w:rsidP="006A3D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2 341,54</w:t>
            </w:r>
          </w:p>
        </w:tc>
      </w:tr>
      <w:tr w:rsidR="00937B3F" w:rsidRPr="00937B3F" w14:paraId="439C25F7" w14:textId="77777777" w:rsidTr="006A3DB3">
        <w:trPr>
          <w:trHeight w:val="276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080" w14:textId="47D21E37" w:rsidR="00937B3F" w:rsidRPr="00937B3F" w:rsidRDefault="006A3DB3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Dotations provisions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3220" w14:textId="41DE903F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5 640,00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D53B" w14:textId="38DC8849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552,18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E02FF2" w14:textId="7F65392C" w:rsidR="00937B3F" w:rsidRPr="006444A4" w:rsidRDefault="00937B3F" w:rsidP="006A3D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63,57</w:t>
            </w:r>
          </w:p>
        </w:tc>
      </w:tr>
      <w:tr w:rsidR="00937B3F" w:rsidRPr="00937B3F" w14:paraId="136B3128" w14:textId="77777777" w:rsidTr="006A3DB3">
        <w:trPr>
          <w:trHeight w:val="407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4068" w14:textId="14DE15E7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 xml:space="preserve">Virement </w:t>
            </w:r>
            <w:r w:rsidR="006A3DB3">
              <w:rPr>
                <w:rFonts w:eastAsia="Times New Roman"/>
                <w:color w:val="000000"/>
                <w:lang w:eastAsia="fr-FR"/>
              </w:rPr>
              <w:t>à l</w:t>
            </w:r>
            <w:r w:rsidRPr="00937B3F">
              <w:rPr>
                <w:rFonts w:eastAsia="Times New Roman"/>
                <w:color w:val="000000"/>
                <w:lang w:eastAsia="fr-FR"/>
              </w:rPr>
              <w:t>’investissement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C127" w14:textId="2422A73C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22 494,56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DA2D" w14:textId="3C286847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-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9C9E22" w14:textId="75353CDD" w:rsidR="00937B3F" w:rsidRPr="006444A4" w:rsidRDefault="00937B3F" w:rsidP="006A3D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43 616,67</w:t>
            </w:r>
          </w:p>
        </w:tc>
      </w:tr>
      <w:tr w:rsidR="00937B3F" w:rsidRPr="00937B3F" w14:paraId="03F534AD" w14:textId="77777777" w:rsidTr="00937B3F">
        <w:trPr>
          <w:trHeight w:val="348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84DB" w14:textId="166CD8A8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82D0" w14:textId="20B137B3" w:rsidR="00937B3F" w:rsidRPr="00937B3F" w:rsidRDefault="00937B3F" w:rsidP="006A3D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37B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Total dépenses estimé</w:t>
            </w:r>
            <w:r w:rsid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es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F93F10" w14:textId="39465FE9" w:rsidR="00937B3F" w:rsidRPr="006444A4" w:rsidRDefault="00937B3F" w:rsidP="006A3D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348 570,29</w:t>
            </w:r>
          </w:p>
        </w:tc>
      </w:tr>
      <w:tr w:rsidR="00937B3F" w:rsidRPr="00937B3F" w14:paraId="4FCB8E31" w14:textId="77777777" w:rsidTr="006A3DB3">
        <w:trPr>
          <w:trHeight w:val="51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8332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17C4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84C1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60D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86F6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37B3F" w:rsidRPr="00937B3F" w14:paraId="1B82D055" w14:textId="77777777" w:rsidTr="00937B3F">
        <w:trPr>
          <w:trHeight w:val="372"/>
        </w:trPr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D55" w14:textId="5BDA51AC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44266C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37B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Recettes prévisionnelles 2023</w:t>
            </w:r>
          </w:p>
        </w:tc>
      </w:tr>
      <w:tr w:rsidR="00937B3F" w:rsidRPr="00937B3F" w14:paraId="79658003" w14:textId="77777777" w:rsidTr="00937B3F">
        <w:trPr>
          <w:trHeight w:val="421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1138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37B3F">
              <w:rPr>
                <w:rFonts w:eastAsia="Times New Roman"/>
                <w:b/>
                <w:bCs/>
                <w:color w:val="000000"/>
                <w:lang w:eastAsia="fr-FR"/>
              </w:rPr>
              <w:t>Libellé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7A3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37B3F">
              <w:rPr>
                <w:rFonts w:eastAsia="Times New Roman"/>
                <w:b/>
                <w:bCs/>
                <w:color w:val="000000"/>
                <w:lang w:eastAsia="fr-FR"/>
              </w:rPr>
              <w:t>Recettes estimées 2022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14BA" w14:textId="2AE43F29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37B3F">
              <w:rPr>
                <w:rFonts w:eastAsia="Times New Roman"/>
                <w:b/>
                <w:bCs/>
                <w:color w:val="000000"/>
                <w:lang w:eastAsia="fr-FR"/>
              </w:rPr>
              <w:t>Recette</w:t>
            </w:r>
            <w:r w:rsidR="00B23104">
              <w:rPr>
                <w:rFonts w:eastAsia="Times New Roman"/>
                <w:b/>
                <w:bCs/>
                <w:color w:val="000000"/>
                <w:lang w:eastAsia="fr-FR"/>
              </w:rPr>
              <w:t>s</w:t>
            </w:r>
            <w:r w:rsidRPr="00937B3F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réelles 2022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02D301" w14:textId="174312A8" w:rsidR="00937B3F" w:rsidRPr="006444A4" w:rsidRDefault="006444A4" w:rsidP="00937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lang w:eastAsia="fr-FR"/>
              </w:rPr>
              <w:t>E</w:t>
            </w:r>
            <w:r w:rsidR="00937B3F" w:rsidRPr="006444A4">
              <w:rPr>
                <w:rFonts w:eastAsia="Times New Roman"/>
                <w:b/>
                <w:bCs/>
                <w:color w:val="000000"/>
                <w:lang w:eastAsia="fr-FR"/>
              </w:rPr>
              <w:t>stimation recettes 2023</w:t>
            </w:r>
          </w:p>
        </w:tc>
      </w:tr>
      <w:tr w:rsidR="00937B3F" w:rsidRPr="00937B3F" w14:paraId="5AFB9047" w14:textId="77777777" w:rsidTr="00937B3F">
        <w:trPr>
          <w:trHeight w:val="312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EB33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Atténuation de charges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E3F6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2571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1717,51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C6280E" w14:textId="77777777" w:rsidR="00937B3F" w:rsidRPr="006444A4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0,00</w:t>
            </w:r>
          </w:p>
        </w:tc>
      </w:tr>
      <w:tr w:rsidR="00937B3F" w:rsidRPr="00937B3F" w14:paraId="76EE1E87" w14:textId="77777777" w:rsidTr="00937B3F">
        <w:trPr>
          <w:trHeight w:val="624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E2E8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Produits des services, domaine et vente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ECCC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16 864,00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142B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17 174,81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4E8918" w14:textId="77777777" w:rsidR="00937B3F" w:rsidRPr="006444A4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17 570,00</w:t>
            </w:r>
          </w:p>
        </w:tc>
      </w:tr>
      <w:tr w:rsidR="00937B3F" w:rsidRPr="00937B3F" w14:paraId="7D4F5BE8" w14:textId="77777777" w:rsidTr="00937B3F">
        <w:trPr>
          <w:trHeight w:val="312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25D2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Impôts et taxes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EBF" w14:textId="71E97A5C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168 637,00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BDD5" w14:textId="433DF91E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175 973,33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689CAD" w14:textId="77777777" w:rsidR="00937B3F" w:rsidRPr="006444A4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184 762,00</w:t>
            </w:r>
          </w:p>
        </w:tc>
      </w:tr>
      <w:tr w:rsidR="00937B3F" w:rsidRPr="00937B3F" w14:paraId="68F14E87" w14:textId="77777777" w:rsidTr="00937B3F">
        <w:trPr>
          <w:trHeight w:val="624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C2EC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Dotations, subventions et participations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A72" w14:textId="54AAD85C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86 733,00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7B24" w14:textId="2E186DEA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84 665,55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E2D425" w14:textId="77777777" w:rsidR="00937B3F" w:rsidRPr="006444A4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84 673,48</w:t>
            </w:r>
          </w:p>
        </w:tc>
      </w:tr>
      <w:tr w:rsidR="00937B3F" w:rsidRPr="00937B3F" w14:paraId="2E7FFF10" w14:textId="77777777" w:rsidTr="00937B3F">
        <w:trPr>
          <w:trHeight w:val="624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8F00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Autre produit de gestion courante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B371" w14:textId="23EC9989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11 058,38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19F" w14:textId="6D8713D9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13 260,69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D7AE3C0" w14:textId="77777777" w:rsidR="00937B3F" w:rsidRPr="006444A4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10 552,20</w:t>
            </w:r>
          </w:p>
        </w:tc>
      </w:tr>
      <w:tr w:rsidR="00937B3F" w:rsidRPr="00937B3F" w14:paraId="4D04FC03" w14:textId="77777777" w:rsidTr="00937B3F">
        <w:trPr>
          <w:trHeight w:val="312"/>
        </w:trPr>
        <w:tc>
          <w:tcPr>
            <w:tcW w:w="310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D922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 xml:space="preserve">Reliquat de </w:t>
            </w:r>
            <w:r w:rsidRPr="00937B3F">
              <w:rPr>
                <w:rFonts w:eastAsia="Times New Roman"/>
                <w:color w:val="000000"/>
                <w:lang w:eastAsia="fr-FR"/>
              </w:rPr>
              <w:br/>
              <w:t>fonctionnement 2022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E2C3" w14:textId="21C662E1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61 512,42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44F4" w14:textId="7C29B006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37B3F">
              <w:rPr>
                <w:rFonts w:eastAsia="Times New Roman"/>
                <w:color w:val="000000"/>
                <w:lang w:eastAsia="fr-FR"/>
              </w:rPr>
              <w:t>61 512,42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18370E" w14:textId="77777777" w:rsidR="00937B3F" w:rsidRPr="006444A4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6444A4">
              <w:rPr>
                <w:rFonts w:eastAsia="Times New Roman"/>
                <w:b/>
                <w:color w:val="000000"/>
                <w:lang w:eastAsia="fr-FR"/>
              </w:rPr>
              <w:t>51 012,61</w:t>
            </w:r>
          </w:p>
        </w:tc>
      </w:tr>
      <w:tr w:rsidR="00937B3F" w:rsidRPr="00937B3F" w14:paraId="58D567D3" w14:textId="77777777" w:rsidTr="00937B3F">
        <w:trPr>
          <w:trHeight w:val="293"/>
        </w:trPr>
        <w:tc>
          <w:tcPr>
            <w:tcW w:w="310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4D675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1867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EF59" w14:textId="77777777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753118F" w14:textId="77777777" w:rsidR="00937B3F" w:rsidRPr="006444A4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  <w:tr w:rsidR="00937B3F" w:rsidRPr="00937B3F" w14:paraId="7C2462C6" w14:textId="77777777" w:rsidTr="00937B3F">
        <w:trPr>
          <w:trHeight w:val="372"/>
        </w:trPr>
        <w:tc>
          <w:tcPr>
            <w:tcW w:w="3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F16E" w14:textId="6652C6F2" w:rsidR="00937B3F" w:rsidRPr="00937B3F" w:rsidRDefault="00937B3F" w:rsidP="00937B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D264" w14:textId="69A4B4A8" w:rsidR="00937B3F" w:rsidRPr="00937B3F" w:rsidRDefault="00937B3F" w:rsidP="006444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37B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</w:t>
            </w:r>
            <w:r w:rsid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recett</w:t>
            </w:r>
            <w:r w:rsidRPr="00937B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es estimées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5822077" w14:textId="77777777" w:rsidR="00937B3F" w:rsidRPr="006444A4" w:rsidRDefault="00937B3F" w:rsidP="00937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348 570,29</w:t>
            </w:r>
          </w:p>
        </w:tc>
      </w:tr>
    </w:tbl>
    <w:p w14:paraId="51655A69" w14:textId="77777777" w:rsidR="00F250B9" w:rsidRDefault="00F250B9" w:rsidP="00BA0D7B">
      <w:pPr>
        <w:pStyle w:val="Standard"/>
        <w:spacing w:after="60"/>
        <w:ind w:left="284"/>
        <w:jc w:val="both"/>
        <w:rPr>
          <w:rFonts w:ascii="Times New Roman" w:hAnsi="Times New Roman" w:cs="Times New Roman"/>
          <w:bCs/>
        </w:rPr>
      </w:pPr>
    </w:p>
    <w:p w14:paraId="67A6BC17" w14:textId="26562048" w:rsidR="00440552" w:rsidRDefault="00937B3F" w:rsidP="00BA0D7B">
      <w:pPr>
        <w:pStyle w:val="Standard"/>
        <w:spacing w:after="6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Investissement 2023</w:t>
      </w:r>
    </w:p>
    <w:tbl>
      <w:tblPr>
        <w:tblW w:w="10210" w:type="dxa"/>
        <w:tblInd w:w="-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895"/>
        <w:gridCol w:w="1405"/>
        <w:gridCol w:w="1389"/>
        <w:gridCol w:w="1268"/>
      </w:tblGrid>
      <w:tr w:rsidR="00F250B9" w:rsidRPr="00F250B9" w14:paraId="65C98C59" w14:textId="77777777" w:rsidTr="00F250B9">
        <w:trPr>
          <w:trHeight w:val="444"/>
        </w:trPr>
        <w:tc>
          <w:tcPr>
            <w:tcW w:w="28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7966" w14:textId="77777777" w:rsidR="00F250B9" w:rsidRPr="00F250B9" w:rsidRDefault="00F250B9" w:rsidP="00F250B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741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F720F80" w14:textId="77777777" w:rsidR="00F250B9" w:rsidRPr="006444A4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Budget d'investissement 2023</w:t>
            </w:r>
          </w:p>
        </w:tc>
      </w:tr>
      <w:tr w:rsidR="00F250B9" w:rsidRPr="00F250B9" w14:paraId="697108DC" w14:textId="77777777" w:rsidTr="00F250B9">
        <w:trPr>
          <w:trHeight w:val="360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0CED" w14:textId="77777777" w:rsidR="00F250B9" w:rsidRPr="00F250B9" w:rsidRDefault="00F250B9" w:rsidP="00F250B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E845E" w14:textId="77777777" w:rsidR="00F250B9" w:rsidRPr="00F250B9" w:rsidRDefault="00F250B9" w:rsidP="00F250B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595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D8BA54" w14:textId="77777777" w:rsidR="00F250B9" w:rsidRPr="006444A4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Recettes 2023</w:t>
            </w:r>
          </w:p>
        </w:tc>
      </w:tr>
      <w:tr w:rsidR="00F250B9" w:rsidRPr="00F250B9" w14:paraId="287E21D9" w14:textId="77777777" w:rsidTr="00F250B9">
        <w:trPr>
          <w:trHeight w:val="312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D077" w14:textId="77777777" w:rsidR="00F250B9" w:rsidRPr="00F250B9" w:rsidRDefault="00F250B9" w:rsidP="00F250B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3853" w14:textId="77777777" w:rsidR="00F250B9" w:rsidRPr="00F250B9" w:rsidRDefault="00F250B9" w:rsidP="00F250B9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Virement du budget de fonctionnement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F4B2DA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43 616,67 </w:t>
            </w:r>
          </w:p>
        </w:tc>
      </w:tr>
      <w:tr w:rsidR="00F250B9" w:rsidRPr="00F250B9" w14:paraId="2351431B" w14:textId="77777777" w:rsidTr="00F250B9">
        <w:trPr>
          <w:trHeight w:val="324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54B5" w14:textId="77777777" w:rsidR="00F250B9" w:rsidRPr="00F250B9" w:rsidRDefault="00F250B9" w:rsidP="00F250B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532F" w14:textId="77777777" w:rsidR="00F250B9" w:rsidRPr="00F250B9" w:rsidRDefault="00F250B9" w:rsidP="00F250B9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FCTVA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570B17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20 498,51 </w:t>
            </w:r>
          </w:p>
        </w:tc>
      </w:tr>
      <w:tr w:rsidR="00F250B9" w:rsidRPr="00F250B9" w14:paraId="0E5BD48A" w14:textId="77777777" w:rsidTr="00F250B9">
        <w:trPr>
          <w:trHeight w:val="384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1CCD" w14:textId="77777777" w:rsidR="00F250B9" w:rsidRPr="00F250B9" w:rsidRDefault="00F250B9" w:rsidP="00F250B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475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D4F1" w14:textId="77777777" w:rsidR="00F250B9" w:rsidRPr="006444A4" w:rsidRDefault="00F250B9" w:rsidP="00F250B9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Total recettes garanties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86EDC0" w14:textId="77777777" w:rsidR="00F250B9" w:rsidRPr="006444A4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64 115,18 </w:t>
            </w:r>
          </w:p>
        </w:tc>
      </w:tr>
      <w:tr w:rsidR="00F250B9" w:rsidRPr="00F250B9" w14:paraId="3B086DB8" w14:textId="77777777" w:rsidTr="00F250B9">
        <w:trPr>
          <w:trHeight w:val="156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7A49" w14:textId="77777777" w:rsidR="00F250B9" w:rsidRPr="00F250B9" w:rsidRDefault="00F250B9" w:rsidP="00F250B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3FA7" w14:textId="77777777" w:rsidR="00F250B9" w:rsidRPr="00F250B9" w:rsidRDefault="00F250B9" w:rsidP="00F250B9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AA55" w14:textId="77777777" w:rsidR="00F250B9" w:rsidRPr="00F250B9" w:rsidRDefault="00F250B9" w:rsidP="00F2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4F59" w14:textId="77777777" w:rsidR="00F250B9" w:rsidRPr="00F250B9" w:rsidRDefault="00F250B9" w:rsidP="00F2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CAF" w14:textId="77777777" w:rsidR="00F250B9" w:rsidRPr="00F250B9" w:rsidRDefault="00F250B9" w:rsidP="00F2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5916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250B9" w:rsidRPr="00F250B9" w14:paraId="52485B91" w14:textId="77777777" w:rsidTr="00F250B9">
        <w:trPr>
          <w:trHeight w:val="840"/>
        </w:trPr>
        <w:tc>
          <w:tcPr>
            <w:tcW w:w="2800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35C609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Projets</w:t>
            </w:r>
          </w:p>
          <w:p w14:paraId="4D6605AF" w14:textId="39FB1858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ACB5" w14:textId="209A68F3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Estimation dépenses</w:t>
            </w:r>
            <w:r w:rsidR="006444A4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 xml:space="preserve"> projets</w:t>
            </w:r>
          </w:p>
          <w:p w14:paraId="5DF4DC3F" w14:textId="79CF50F3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9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18C3" w14:textId="6095C051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Dépenses prévisionnelles (</w:t>
            </w:r>
            <w:r w:rsidR="00BC3FD1"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budget) 2023</w:t>
            </w:r>
            <w:r w:rsidR="006444A4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)</w:t>
            </w:r>
          </w:p>
          <w:p w14:paraId="15B23647" w14:textId="6AB7C7E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06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0D91004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Recettes prévisionnelles 2023</w:t>
            </w:r>
          </w:p>
        </w:tc>
      </w:tr>
      <w:tr w:rsidR="00F250B9" w:rsidRPr="00F250B9" w14:paraId="0A0D72CD" w14:textId="77777777" w:rsidTr="00F250B9">
        <w:trPr>
          <w:trHeight w:val="576"/>
        </w:trPr>
        <w:tc>
          <w:tcPr>
            <w:tcW w:w="2800" w:type="dxa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BC17" w14:textId="68B3AE62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5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A636" w14:textId="3197D1BA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0FA6" w14:textId="1221B713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4FAF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Emprunt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A7F" w14:textId="4AAA2C62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Subv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entions</w:t>
            </w: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département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2EFF85" w14:textId="235031E9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Subv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entions r</w:t>
            </w: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égion</w:t>
            </w:r>
          </w:p>
        </w:tc>
      </w:tr>
      <w:tr w:rsidR="00F250B9" w:rsidRPr="00F250B9" w14:paraId="355A35D8" w14:textId="77777777" w:rsidTr="00F250B9">
        <w:trPr>
          <w:trHeight w:val="432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9E203" w14:textId="6BFFDE3B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Bâtiment public (Bascule)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6821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3 500,00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8811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            3 500,00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B1FF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17E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3F8EE9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250B9" w:rsidRPr="00F250B9" w14:paraId="55548E2E" w14:textId="77777777" w:rsidTr="00F250B9">
        <w:trPr>
          <w:trHeight w:val="588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077F5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Bâtiments publics (appartements)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DFB3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40 000,00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ACDF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            6 000,00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AE7F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C8D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F392D4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250B9" w:rsidRPr="00F250B9" w14:paraId="6EC5D851" w14:textId="77777777" w:rsidTr="00F250B9">
        <w:trPr>
          <w:trHeight w:val="600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F5946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Carrefour et route de l'hôpital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A5C0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41 000,00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8FFE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 xml:space="preserve">          41 000,00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38F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3F50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12 547,60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179BEE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250B9" w:rsidRPr="00F250B9" w14:paraId="655FCA7A" w14:textId="77777777" w:rsidTr="00F250B9">
        <w:trPr>
          <w:trHeight w:val="792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899FB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Réparation du pont d'</w:t>
            </w:r>
            <w:proofErr w:type="spellStart"/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arnon</w:t>
            </w:r>
            <w:proofErr w:type="spellEnd"/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+ brûleur herbe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414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13 000,00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6190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 xml:space="preserve">          13 000,00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932D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F239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5 000,00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E35C7C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250B9" w:rsidRPr="00F250B9" w14:paraId="557040DE" w14:textId="77777777" w:rsidTr="00F250B9">
        <w:trPr>
          <w:trHeight w:val="75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78476" w14:textId="2680BF9A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 xml:space="preserve">Routes </w:t>
            </w:r>
            <w:r w:rsidR="00D06151"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communales</w:t>
            </w: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 xml:space="preserve"> (cailloux)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6A0D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2 500,00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3DA0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 xml:space="preserve">            2 500,00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1936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0A6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367696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250B9" w:rsidRPr="00F250B9" w14:paraId="250D9476" w14:textId="77777777" w:rsidTr="00F250B9">
        <w:trPr>
          <w:trHeight w:val="432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55F76" w14:textId="157F00B2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 xml:space="preserve">Routes </w:t>
            </w:r>
            <w:r w:rsidR="00D06151"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communales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1168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30 000,00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6699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                        -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CEAD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AD8D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8FA083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250B9" w:rsidRPr="00F250B9" w14:paraId="27530D95" w14:textId="77777777" w:rsidTr="00F250B9">
        <w:trPr>
          <w:trHeight w:val="432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548AA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Aire de pétanque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546A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8 412,00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11E4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 xml:space="preserve">            8 412,00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382F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538A" w14:textId="77777777" w:rsidR="00F250B9" w:rsidRPr="00F250B9" w:rsidRDefault="00F250B9" w:rsidP="00F250B9">
            <w:pPr>
              <w:spacing w:after="0" w:line="240" w:lineRule="auto"/>
              <w:ind w:left="112" w:hanging="112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11 504,20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0CC7A0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13 013,00   </w:t>
            </w:r>
          </w:p>
        </w:tc>
      </w:tr>
      <w:tr w:rsidR="00F250B9" w:rsidRPr="00F250B9" w14:paraId="3E9B3A95" w14:textId="77777777" w:rsidTr="00F250B9">
        <w:trPr>
          <w:trHeight w:val="432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CD968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Complexe rural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412D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120 000,00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1F62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        100 000,00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C9BF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85 874,89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6160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25 000,00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9E9A88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41 000,00   </w:t>
            </w:r>
          </w:p>
        </w:tc>
      </w:tr>
      <w:tr w:rsidR="00F250B9" w:rsidRPr="00F250B9" w14:paraId="421F30E9" w14:textId="77777777" w:rsidTr="00F250B9">
        <w:trPr>
          <w:trHeight w:val="432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3449D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Bâtiment scolaire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16C0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15 000,00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83D0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            2 500,00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A803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790B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4C81DF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250B9" w:rsidRPr="00F250B9" w14:paraId="2841DFB4" w14:textId="77777777" w:rsidTr="00F250B9">
        <w:trPr>
          <w:trHeight w:val="432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43FDF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Tables salle polyvalente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370F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2 700,00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2D9E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 xml:space="preserve">            2 700,00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C0D7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EC05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B55A7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250B9" w:rsidRPr="00F250B9" w14:paraId="1CBA1E1E" w14:textId="77777777" w:rsidTr="00F250B9">
        <w:trPr>
          <w:trHeight w:val="624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FD5C9" w14:textId="5128FAD8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Bâtiment administratif (ancienne mairie)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27E3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25 000,00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D4DB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          25 000,00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88A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2753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EE86E7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250B9" w:rsidRPr="00F250B9" w14:paraId="319D3E2A" w14:textId="77777777" w:rsidTr="00F250B9">
        <w:trPr>
          <w:trHeight w:val="432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22257" w14:textId="56B9C4BC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Cimetière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3B58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20 000,00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3B5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 xml:space="preserve">            8 126,20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6072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B926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33C86F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250B9" w:rsidRPr="00F250B9" w14:paraId="773C7F2A" w14:textId="77777777" w:rsidTr="00F250B9">
        <w:trPr>
          <w:trHeight w:val="432"/>
        </w:trPr>
        <w:tc>
          <w:tcPr>
            <w:tcW w:w="280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6A40D" w14:textId="0B8E49D1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 xml:space="preserve">Remboursement capital des emprunts (Maison, Tracteur, broyeur, aire de jeux,) </w:t>
            </w:r>
          </w:p>
        </w:tc>
        <w:tc>
          <w:tcPr>
            <w:tcW w:w="145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BEA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30 000,00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76C8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 xml:space="preserve">          28 289,80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A807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86D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8025F2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250B9" w:rsidRPr="00F250B9" w14:paraId="313EB44F" w14:textId="77777777" w:rsidTr="00F250B9">
        <w:trPr>
          <w:trHeight w:val="432"/>
        </w:trPr>
        <w:tc>
          <w:tcPr>
            <w:tcW w:w="280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76EAF" w14:textId="77777777" w:rsidR="00F250B9" w:rsidRPr="00F250B9" w:rsidRDefault="00F250B9" w:rsidP="00F250B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45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164D" w14:textId="77777777" w:rsidR="00F250B9" w:rsidRPr="00F250B9" w:rsidRDefault="00F250B9" w:rsidP="00F250B9">
            <w:pPr>
              <w:spacing w:after="0" w:line="240" w:lineRule="auto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62F1" w14:textId="77777777" w:rsidR="00F250B9" w:rsidRPr="00F250B9" w:rsidRDefault="00F250B9" w:rsidP="00F250B9">
            <w:pPr>
              <w:spacing w:after="0" w:line="240" w:lineRule="auto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584C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1D8B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646336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250B9" w:rsidRPr="00F250B9" w14:paraId="32B73786" w14:textId="77777777" w:rsidTr="00F250B9">
        <w:trPr>
          <w:trHeight w:val="432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7FC30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Panneaux de signalisation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8DD6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1 700,00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20C3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 xml:space="preserve">            1 700,00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A065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2E71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35602B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250B9" w:rsidRPr="00F250B9" w14:paraId="628838E8" w14:textId="77777777" w:rsidTr="00F250B9">
        <w:trPr>
          <w:trHeight w:val="432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9EAB8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62EA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58D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B685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CD0E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A76986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250B9" w:rsidRPr="00F250B9" w14:paraId="4C2DE2F2" w14:textId="77777777" w:rsidTr="00F250B9">
        <w:trPr>
          <w:trHeight w:val="432"/>
        </w:trPr>
        <w:tc>
          <w:tcPr>
            <w:tcW w:w="2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C0675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Déficit investissement 2022</w:t>
            </w:r>
          </w:p>
        </w:tc>
        <w:tc>
          <w:tcPr>
            <w:tcW w:w="145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8BE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</w:pPr>
            <w:r w:rsidRPr="00F250B9">
              <w:rPr>
                <w:rFonts w:ascii="Liberation Sans1" w:eastAsia="Times New Roman" w:hAnsi="Liberation Sans1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DA61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F250B9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          15 326,87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8E68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1D73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848D4E" w14:textId="77777777" w:rsidR="00F250B9" w:rsidRPr="00F250B9" w:rsidRDefault="00F250B9" w:rsidP="00F250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F250B9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F250B9" w:rsidRPr="00F250B9" w14:paraId="7E0381FE" w14:textId="77777777" w:rsidTr="00F250B9">
        <w:trPr>
          <w:trHeight w:val="1344"/>
        </w:trPr>
        <w:tc>
          <w:tcPr>
            <w:tcW w:w="28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683030" w14:textId="77777777" w:rsidR="00F250B9" w:rsidRPr="006444A4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dépenses 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65DA" w14:textId="77777777" w:rsidR="00F250B9" w:rsidRPr="006444A4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Montant estimatif des projets  </w:t>
            </w:r>
          </w:p>
        </w:tc>
        <w:tc>
          <w:tcPr>
            <w:tcW w:w="18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0975" w14:textId="77777777" w:rsidR="00F250B9" w:rsidRPr="006444A4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Coût dépenses </w:t>
            </w: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br/>
              <w:t xml:space="preserve">prévisionnelles </w:t>
            </w:r>
          </w:p>
        </w:tc>
        <w:tc>
          <w:tcPr>
            <w:tcW w:w="40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BC75E3" w14:textId="77777777" w:rsidR="00F250B9" w:rsidRPr="006444A4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recettes </w:t>
            </w: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br/>
              <w:t>estimées</w:t>
            </w:r>
          </w:p>
        </w:tc>
      </w:tr>
      <w:tr w:rsidR="00F250B9" w:rsidRPr="00F250B9" w14:paraId="09BBCA1B" w14:textId="77777777" w:rsidTr="00F250B9">
        <w:trPr>
          <w:trHeight w:val="372"/>
        </w:trPr>
        <w:tc>
          <w:tcPr>
            <w:tcW w:w="28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79EE921" w14:textId="77777777" w:rsidR="00F250B9" w:rsidRPr="006444A4" w:rsidRDefault="00F250B9" w:rsidP="00F250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7A91" w14:textId="77777777" w:rsidR="00F250B9" w:rsidRPr="006444A4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352 812,00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F5E1" w14:textId="77777777" w:rsidR="00F250B9" w:rsidRPr="006444A4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258 054,87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8596D1D" w14:textId="77777777" w:rsidR="00F250B9" w:rsidRPr="006444A4" w:rsidRDefault="00F250B9" w:rsidP="00F250B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4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258 054,87 </w:t>
            </w:r>
          </w:p>
        </w:tc>
      </w:tr>
    </w:tbl>
    <w:p w14:paraId="32605422" w14:textId="77777777" w:rsidR="00937B3F" w:rsidRDefault="00937B3F" w:rsidP="00BA0D7B">
      <w:pPr>
        <w:pStyle w:val="Standard"/>
        <w:spacing w:after="60"/>
        <w:ind w:left="284"/>
        <w:jc w:val="both"/>
        <w:rPr>
          <w:rFonts w:ascii="Times New Roman" w:hAnsi="Times New Roman" w:cs="Times New Roman"/>
          <w:bCs/>
        </w:rPr>
      </w:pPr>
    </w:p>
    <w:p w14:paraId="3488737F" w14:textId="77777777" w:rsidR="00937B3F" w:rsidRDefault="00937B3F" w:rsidP="00BA0D7B">
      <w:pPr>
        <w:pStyle w:val="Standard"/>
        <w:spacing w:after="60"/>
        <w:ind w:left="284"/>
        <w:jc w:val="both"/>
        <w:rPr>
          <w:rFonts w:ascii="Times New Roman" w:hAnsi="Times New Roman" w:cs="Times New Roman"/>
          <w:bCs/>
        </w:rPr>
      </w:pPr>
    </w:p>
    <w:p w14:paraId="397B95E7" w14:textId="59FB061F" w:rsidR="00D06151" w:rsidRDefault="00D06151" w:rsidP="00BA0D7B">
      <w:pPr>
        <w:pStyle w:val="Standard"/>
        <w:spacing w:after="6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Pour information le prêt de la maison se termine en juin 2026, et celui de l’achat du tracteur en septembre 2027 </w:t>
      </w:r>
    </w:p>
    <w:p w14:paraId="7C6CB462" w14:textId="3FD5B0B9" w:rsidR="00D06151" w:rsidRDefault="00F250B9" w:rsidP="006A3DB3">
      <w:pPr>
        <w:pStyle w:val="Standard"/>
        <w:spacing w:after="60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l’issue de la présentation, afin d’engager les opérations incontournables,</w:t>
      </w:r>
      <w:r w:rsidR="00D06151">
        <w:rPr>
          <w:rFonts w:ascii="Times New Roman" w:hAnsi="Times New Roman" w:cs="Times New Roman"/>
          <w:bCs/>
        </w:rPr>
        <w:t xml:space="preserve"> dès le 1</w:t>
      </w:r>
      <w:r w:rsidR="00D06151" w:rsidRPr="00D06151">
        <w:rPr>
          <w:rFonts w:ascii="Times New Roman" w:hAnsi="Times New Roman" w:cs="Times New Roman"/>
          <w:bCs/>
          <w:vertAlign w:val="superscript"/>
        </w:rPr>
        <w:t>er</w:t>
      </w:r>
      <w:r w:rsidR="00D06151">
        <w:rPr>
          <w:rFonts w:ascii="Times New Roman" w:hAnsi="Times New Roman" w:cs="Times New Roman"/>
          <w:bCs/>
        </w:rPr>
        <w:t xml:space="preserve"> semestre,</w:t>
      </w:r>
      <w:r>
        <w:rPr>
          <w:rFonts w:ascii="Times New Roman" w:hAnsi="Times New Roman" w:cs="Times New Roman"/>
          <w:bCs/>
        </w:rPr>
        <w:t xml:space="preserve"> </w:t>
      </w:r>
      <w:r w:rsidR="00D06151">
        <w:rPr>
          <w:rFonts w:ascii="Times New Roman" w:hAnsi="Times New Roman" w:cs="Times New Roman"/>
          <w:bCs/>
        </w:rPr>
        <w:t>(</w:t>
      </w:r>
      <w:r w:rsidR="00D06151" w:rsidRPr="006444A4">
        <w:rPr>
          <w:rFonts w:eastAsia="Times New Roman"/>
          <w:bCs/>
          <w:i/>
          <w:iCs/>
          <w:color w:val="000000"/>
          <w:lang w:eastAsia="fr-FR"/>
        </w:rPr>
        <w:t>Carrefour et route de l'hôpital</w:t>
      </w:r>
      <w:r w:rsidR="00D06151" w:rsidRPr="006444A4">
        <w:rPr>
          <w:rFonts w:ascii="Times New Roman" w:hAnsi="Times New Roman" w:cs="Times New Roman"/>
          <w:bCs/>
        </w:rPr>
        <w:t>,</w:t>
      </w:r>
      <w:r w:rsidR="00D06151" w:rsidRPr="006444A4">
        <w:rPr>
          <w:rFonts w:eastAsia="Times New Roman"/>
          <w:bCs/>
          <w:i/>
          <w:iCs/>
          <w:color w:val="000000"/>
          <w:lang w:eastAsia="fr-FR"/>
        </w:rPr>
        <w:t xml:space="preserve"> Réparation du pont de l'</w:t>
      </w:r>
      <w:proofErr w:type="spellStart"/>
      <w:r w:rsidR="00D06151" w:rsidRPr="006444A4">
        <w:rPr>
          <w:rFonts w:eastAsia="Times New Roman"/>
          <w:bCs/>
          <w:i/>
          <w:iCs/>
          <w:color w:val="000000"/>
          <w:lang w:eastAsia="fr-FR"/>
        </w:rPr>
        <w:t>arnon</w:t>
      </w:r>
      <w:proofErr w:type="spellEnd"/>
      <w:r w:rsidR="00D06151" w:rsidRPr="006444A4">
        <w:rPr>
          <w:rFonts w:eastAsia="Times New Roman"/>
          <w:bCs/>
          <w:i/>
          <w:iCs/>
          <w:color w:val="000000"/>
          <w:lang w:eastAsia="fr-FR"/>
        </w:rPr>
        <w:t>+ brûleur herbe</w:t>
      </w:r>
      <w:r w:rsidR="006444A4">
        <w:rPr>
          <w:rFonts w:eastAsia="Times New Roman"/>
          <w:bCs/>
          <w:i/>
          <w:iCs/>
          <w:color w:val="000000"/>
          <w:lang w:eastAsia="fr-FR"/>
        </w:rPr>
        <w:t xml:space="preserve">, les tables de la salle polyvalente, et les </w:t>
      </w:r>
      <w:r w:rsidR="00797CA0">
        <w:rPr>
          <w:rFonts w:eastAsia="Times New Roman"/>
          <w:bCs/>
          <w:i/>
          <w:iCs/>
          <w:color w:val="000000"/>
          <w:lang w:eastAsia="fr-FR"/>
        </w:rPr>
        <w:t>panneaux de</w:t>
      </w:r>
      <w:r w:rsidR="006444A4">
        <w:rPr>
          <w:rFonts w:eastAsia="Times New Roman"/>
          <w:bCs/>
          <w:i/>
          <w:iCs/>
          <w:color w:val="000000"/>
          <w:lang w:eastAsia="fr-FR"/>
        </w:rPr>
        <w:t xml:space="preserve"> signalisation</w:t>
      </w:r>
      <w:r w:rsidR="00D06151">
        <w:rPr>
          <w:rFonts w:ascii="Times New Roman" w:hAnsi="Times New Roman" w:cs="Times New Roman"/>
          <w:bCs/>
        </w:rPr>
        <w:t>), il est proposé d’engager un emprunt de 30 000€</w:t>
      </w:r>
      <w:r w:rsidR="006444A4">
        <w:rPr>
          <w:rFonts w:ascii="Times New Roman" w:hAnsi="Times New Roman" w:cs="Times New Roman"/>
          <w:bCs/>
        </w:rPr>
        <w:t xml:space="preserve"> (sur les 85 874. 89 estimés)</w:t>
      </w:r>
      <w:r w:rsidR="00D06151">
        <w:rPr>
          <w:rFonts w:ascii="Times New Roman" w:hAnsi="Times New Roman" w:cs="Times New Roman"/>
          <w:bCs/>
        </w:rPr>
        <w:t>.</w:t>
      </w:r>
    </w:p>
    <w:p w14:paraId="2C245803" w14:textId="4BC2966B" w:rsidR="00BC0731" w:rsidRDefault="00BC0731" w:rsidP="00F6358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Vote du </w:t>
      </w:r>
      <w:r w:rsidR="00D06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budget 2023</w:t>
      </w:r>
    </w:p>
    <w:p w14:paraId="1E3C22A3" w14:textId="2E3FDA34" w:rsidR="00BC0731" w:rsidRPr="00BC0731" w:rsidRDefault="00BC0731" w:rsidP="0064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Apres la présentation détaillée ci-dessus, qui a été validé</w:t>
      </w:r>
      <w:r w:rsidR="00CC04C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par la </w:t>
      </w:r>
      <w:r w:rsidR="006444A4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trésorerie, le maire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propose de valider ce </w:t>
      </w:r>
      <w:r w:rsidR="00D06151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budget 2023</w:t>
      </w:r>
    </w:p>
    <w:p w14:paraId="04097F7D" w14:textId="1907F0C0" w:rsidR="00BC0731" w:rsidRPr="00991F3A" w:rsidRDefault="00D06151" w:rsidP="00D50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7</w:t>
      </w:r>
      <w:r w:rsidR="00644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="00D503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Votes </w:t>
      </w:r>
    </w:p>
    <w:p w14:paraId="3BC5C5FE" w14:textId="52991350" w:rsidR="00BC0731" w:rsidRDefault="00BC0731" w:rsidP="00F63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 w:rsidRPr="00BC07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Abstention 0</w:t>
      </w:r>
      <w:r w:rsidR="00CD0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</w:t>
      </w:r>
      <w:r w:rsidRPr="00BC07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; Contre 0 ; Pour </w:t>
      </w:r>
      <w:r w:rsidR="00D061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7</w:t>
      </w:r>
      <w:r w:rsidRPr="00BC07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voix</w:t>
      </w:r>
    </w:p>
    <w:p w14:paraId="3815E51E" w14:textId="1A6853F5" w:rsidR="00BC0731" w:rsidRDefault="00BC0731" w:rsidP="00F63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Le </w:t>
      </w:r>
      <w:r w:rsidR="00D061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budget </w:t>
      </w:r>
      <w:r w:rsidR="007C57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2023 est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validé à </w:t>
      </w:r>
      <w:r w:rsidR="00D061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l’unanimité</w:t>
      </w:r>
    </w:p>
    <w:p w14:paraId="5065F53A" w14:textId="77777777" w:rsidR="00BC0731" w:rsidRPr="00BC0731" w:rsidRDefault="00BC0731" w:rsidP="00F6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EC5646" w14:textId="760900A7" w:rsidR="00BC0731" w:rsidRDefault="006444A4" w:rsidP="00F635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Tarif cantine scolaire pour la rentrée 2023/2024</w:t>
      </w:r>
    </w:p>
    <w:p w14:paraId="020A3D1C" w14:textId="07052687" w:rsidR="00991F3A" w:rsidRDefault="006444A4" w:rsidP="00F635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 Michel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Palliot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indique </w:t>
      </w:r>
      <w:r w:rsidR="00D503E5">
        <w:rPr>
          <w:rFonts w:ascii="Times New Roman" w:eastAsia="Times New Roman" w:hAnsi="Times New Roman" w:cs="Times New Roman"/>
          <w:sz w:val="24"/>
          <w:szCs w:val="24"/>
          <w:lang w:eastAsia="fr-FR"/>
        </w:rPr>
        <w:t>qu’en raison des augmentations des prix,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notre cantinière</w:t>
      </w:r>
      <w:r w:rsidR="00D50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souhaite </w:t>
      </w:r>
      <w:r w:rsidR="006A3DB3">
        <w:rPr>
          <w:rFonts w:ascii="Times New Roman" w:eastAsia="Times New Roman" w:hAnsi="Times New Roman" w:cs="Times New Roman"/>
          <w:sz w:val="24"/>
          <w:szCs w:val="24"/>
          <w:lang w:eastAsia="fr-FR"/>
        </w:rPr>
        <w:t>passer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prix de la cantine scolaire</w:t>
      </w:r>
      <w:r w:rsidR="006A3D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2.10€ à 2.20€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D503E5">
        <w:rPr>
          <w:rFonts w:ascii="Times New Roman" w:eastAsia="Times New Roman" w:hAnsi="Times New Roman" w:cs="Times New Roman"/>
          <w:sz w:val="24"/>
          <w:szCs w:val="24"/>
          <w:lang w:eastAsia="fr-FR"/>
        </w:rPr>
        <w:t>Alain, qui est le président du SIRP précise que les délégués du groupement ont validé que dorénavant le prix des cantines pourra être différent d’une école à l’autre, et que c’est maintenant les communes des écoles qui valide</w:t>
      </w:r>
      <w:r w:rsidR="00A63716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="00D503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prix.</w:t>
      </w:r>
    </w:p>
    <w:p w14:paraId="4E5DF472" w14:textId="2DFF4B7B" w:rsidR="00D503E5" w:rsidRDefault="00D503E5" w:rsidP="00F635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Marjolaine indique que la cantine de Viplaix est coordonnée par une association, et que dans notre cas le coût du repas dépend plutôt du conseil d’administration de cette association.</w:t>
      </w:r>
    </w:p>
    <w:p w14:paraId="64AF2639" w14:textId="250AC7DB" w:rsidR="00D503E5" w:rsidRDefault="00D503E5" w:rsidP="00F635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L’ensemble des conseillers présents confirme cette juste remarque.</w:t>
      </w:r>
    </w:p>
    <w:p w14:paraId="29A1EA1C" w14:textId="65921E6C" w:rsidR="00D503E5" w:rsidRDefault="00D503E5" w:rsidP="00F635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donc décidé de laisser l’association décider du nouveau montant </w:t>
      </w:r>
    </w:p>
    <w:p w14:paraId="348554E2" w14:textId="77777777" w:rsidR="00BA0D7B" w:rsidRPr="00991F3A" w:rsidRDefault="00BA0D7B" w:rsidP="00D50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</w:p>
    <w:p w14:paraId="3E5106AF" w14:textId="7F57858B" w:rsidR="00991F3A" w:rsidRDefault="006A3DB3" w:rsidP="00F635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Tarif du stationnement du camion St Etienne</w:t>
      </w:r>
    </w:p>
    <w:p w14:paraId="1EF2EE4D" w14:textId="6D42FABD" w:rsidR="006A3DB3" w:rsidRDefault="006A3DB3" w:rsidP="00F6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 Michel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Palliot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indique que le coût du stationnement du camion d’outillage </w:t>
      </w:r>
      <w:r w:rsidR="00E9572B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place face à l’église n’a pas augment</w:t>
      </w:r>
      <w:r w:rsidR="00A63716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depuis plusieurs années. </w:t>
      </w:r>
      <w:r w:rsidRPr="00111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propose de </w:t>
      </w:r>
      <w:r w:rsidR="00111BB4" w:rsidRPr="00111BB4">
        <w:rPr>
          <w:rFonts w:ascii="Times New Roman" w:eastAsia="Times New Roman" w:hAnsi="Times New Roman" w:cs="Times New Roman"/>
          <w:sz w:val="24"/>
          <w:szCs w:val="24"/>
          <w:lang w:eastAsia="fr-FR"/>
        </w:rPr>
        <w:t>l’augmenter</w:t>
      </w:r>
      <w:r w:rsidRPr="00111B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="00283365" w:rsidRPr="00111BB4">
        <w:rPr>
          <w:rFonts w:ascii="Times New Roman" w:eastAsia="Times New Roman" w:hAnsi="Times New Roman" w:cs="Times New Roman"/>
          <w:sz w:val="24"/>
          <w:szCs w:val="24"/>
          <w:lang w:eastAsia="fr-FR"/>
        </w:rPr>
        <w:t>60€</w:t>
      </w:r>
    </w:p>
    <w:p w14:paraId="4402B93C" w14:textId="77777777" w:rsidR="006A3DB3" w:rsidRDefault="006A3DB3" w:rsidP="00F6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BE5697" w14:textId="6A9C5009" w:rsidR="00006BE7" w:rsidRDefault="00BA0D7B" w:rsidP="00F63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 w:rsidRPr="00BC07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Abstention </w:t>
      </w:r>
      <w:r w:rsidR="004010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2</w:t>
      </w:r>
      <w:r w:rsidR="00DF10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</w:t>
      </w:r>
      <w:r w:rsidRPr="00BC07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; Contre</w:t>
      </w:r>
      <w:r w:rsidR="00DF10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</w:t>
      </w:r>
      <w:r w:rsidR="004010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5</w:t>
      </w:r>
      <w:r w:rsidRPr="00BC07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 ; Pour </w:t>
      </w:r>
      <w:r w:rsidR="004010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0 </w:t>
      </w:r>
      <w:r w:rsidRPr="00BC07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voix</w:t>
      </w:r>
    </w:p>
    <w:p w14:paraId="67E283F3" w14:textId="0CA16213" w:rsidR="004010A0" w:rsidRDefault="004010A0" w:rsidP="00DF10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L’augmentation de ce stationnement n’est donc pas validée</w:t>
      </w:r>
      <w:r w:rsidR="00DF10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et reste à 40€</w:t>
      </w:r>
    </w:p>
    <w:p w14:paraId="3AD1EFAC" w14:textId="6EE3494C" w:rsidR="00006BE7" w:rsidRPr="00656B3F" w:rsidRDefault="004010A0" w:rsidP="00F6358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Montant de la taxe d’habitation des résidences secondaires</w:t>
      </w:r>
    </w:p>
    <w:p w14:paraId="5F89ECBB" w14:textId="2BC3DCB4" w:rsidR="00DF6B0C" w:rsidRDefault="004010A0" w:rsidP="00F635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maire indique que le montant de la taxe d’habitation des résidences secondaires </w:t>
      </w:r>
      <w:r w:rsidRPr="00111BB4">
        <w:rPr>
          <w:rFonts w:ascii="Times New Roman" w:eastAsia="Times New Roman" w:hAnsi="Times New Roman" w:cs="Times New Roman"/>
          <w:sz w:val="24"/>
          <w:szCs w:val="24"/>
          <w:lang w:eastAsia="fr-FR"/>
        </w:rPr>
        <w:t>a été augmenté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de nombreuses communes. Il propose donc de débattre pour une éventuelle augmentation de 1% ou 2%. Les conseillers présents qui comprennent qu’il serait peut-être envisageable de l’augmenter, indique</w:t>
      </w:r>
      <w:r w:rsidR="00111BB4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lors du dernier conseil, </w:t>
      </w:r>
      <w:r w:rsidRPr="00006C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avons </w:t>
      </w:r>
      <w:r w:rsidR="00584DDB" w:rsidRPr="00006CF4">
        <w:rPr>
          <w:rFonts w:ascii="Times New Roman" w:eastAsia="Times New Roman" w:hAnsi="Times New Roman" w:cs="Times New Roman"/>
          <w:sz w:val="24"/>
          <w:szCs w:val="24"/>
          <w:lang w:eastAsia="fr-FR"/>
        </w:rPr>
        <w:t>décidé de ne pas</w:t>
      </w:r>
      <w:r w:rsidR="00584D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augment</w:t>
      </w:r>
      <w:r w:rsidR="00584DDB"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taxe foncière. </w:t>
      </w:r>
      <w:r w:rsidR="00340328">
        <w:rPr>
          <w:rFonts w:ascii="Times New Roman" w:eastAsia="Times New Roman" w:hAnsi="Times New Roman" w:cs="Times New Roman"/>
          <w:sz w:val="24"/>
          <w:szCs w:val="24"/>
          <w:lang w:eastAsia="fr-FR"/>
        </w:rPr>
        <w:t>Ils préfèreraient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donc que cette taxe d’habitation suive cette décision.</w:t>
      </w:r>
    </w:p>
    <w:p w14:paraId="09F39958" w14:textId="032718A8" w:rsidR="004010A0" w:rsidRDefault="00F50588" w:rsidP="00F635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vote de</w:t>
      </w:r>
      <w:r w:rsidR="004010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l’augmentation cette année de la taxe d’habitation des résidences secondaires</w:t>
      </w:r>
    </w:p>
    <w:p w14:paraId="37DE204D" w14:textId="671F8434" w:rsidR="00DF6B0C" w:rsidRDefault="00DF6B0C" w:rsidP="00F63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 w:rsidRPr="00BC07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Abstention</w:t>
      </w:r>
      <w:r w:rsidR="00CD0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</w:t>
      </w:r>
      <w:r w:rsidR="00006C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2</w:t>
      </w:r>
      <w:r w:rsidR="00CD0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</w:t>
      </w:r>
      <w:r w:rsidRPr="00BC07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; </w:t>
      </w:r>
      <w:r w:rsidRPr="00006C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Contre </w:t>
      </w:r>
      <w:r w:rsidR="00006C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4</w:t>
      </w:r>
      <w:r w:rsidR="00CD0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</w:t>
      </w:r>
      <w:r w:rsidRPr="00BC07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; Pour </w:t>
      </w:r>
      <w:r w:rsidR="004010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1 </w:t>
      </w:r>
      <w:r w:rsidRPr="00BC07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voix</w:t>
      </w:r>
    </w:p>
    <w:p w14:paraId="0B60682B" w14:textId="4F781296" w:rsidR="004010A0" w:rsidRPr="004010A0" w:rsidRDefault="004010A0" w:rsidP="00F63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401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L’augmentation de la taxe d’habitation n’est pas validée pour cette année</w:t>
      </w:r>
      <w:r w:rsidR="00341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, </w:t>
      </w:r>
      <w:r w:rsidR="0034199D" w:rsidRPr="002F2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elle reste à 18,33%</w:t>
      </w:r>
    </w:p>
    <w:p w14:paraId="5B8217B8" w14:textId="63FF2C06" w:rsidR="00BC0731" w:rsidRPr="009D4D55" w:rsidRDefault="00DA4910" w:rsidP="00F6358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Subventions vers les associations</w:t>
      </w:r>
    </w:p>
    <w:p w14:paraId="49582C56" w14:textId="188090C4" w:rsidR="003714D8" w:rsidRDefault="00DF6B0C" w:rsidP="00F63581">
      <w:pPr>
        <w:pStyle w:val="Paragraphedeliste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maire </w:t>
      </w:r>
      <w:r w:rsidR="003714D8">
        <w:rPr>
          <w:rFonts w:ascii="Times New Roman" w:eastAsia="Times New Roman" w:hAnsi="Times New Roman" w:cs="Times New Roman"/>
          <w:sz w:val="24"/>
          <w:szCs w:val="24"/>
          <w:lang w:eastAsia="fr-FR"/>
        </w:rPr>
        <w:t>indique</w:t>
      </w:r>
      <w:r w:rsidR="004010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subventions qui seront versé</w:t>
      </w:r>
      <w:r w:rsidR="003714D8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="004010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année aux associations</w:t>
      </w:r>
      <w:r w:rsidR="002F2B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soient pas modifiées, toutefois il souhaite augmenter celle pour les pompiers.</w:t>
      </w:r>
    </w:p>
    <w:p w14:paraId="7AE5FAC1" w14:textId="77777777" w:rsidR="00DA4910" w:rsidRDefault="00DA4910" w:rsidP="003302EF">
      <w:pPr>
        <w:spacing w:after="0" w:line="257" w:lineRule="auto"/>
        <w:rPr>
          <w:rStyle w:val="Policepardfaut1"/>
          <w:rFonts w:ascii="Times New Roman" w:hAnsi="Times New Roman" w:cs="Arial"/>
        </w:rPr>
      </w:pPr>
      <w:r w:rsidRPr="00BC012B">
        <w:rPr>
          <w:rStyle w:val="Policepardfaut1"/>
          <w:rFonts w:ascii="Times New Roman" w:hAnsi="Times New Roman" w:cs="Arial"/>
          <w:b/>
          <w:bCs/>
        </w:rPr>
        <w:t>Cantine scolaire de Viplaix</w:t>
      </w:r>
      <w:r>
        <w:rPr>
          <w:rStyle w:val="Policepardfaut1"/>
          <w:rFonts w:ascii="Times New Roman" w:hAnsi="Times New Roman" w:cs="Arial"/>
        </w:rPr>
        <w:t> : 115€</w:t>
      </w:r>
    </w:p>
    <w:p w14:paraId="63D1B1BA" w14:textId="77777777" w:rsidR="00DA4910" w:rsidRDefault="00DA4910" w:rsidP="003302EF">
      <w:pPr>
        <w:spacing w:after="0" w:line="257" w:lineRule="auto"/>
        <w:rPr>
          <w:rStyle w:val="Policepardfaut1"/>
          <w:rFonts w:ascii="Times New Roman" w:hAnsi="Times New Roman" w:cs="Arial"/>
        </w:rPr>
      </w:pPr>
      <w:r w:rsidRPr="00BC012B">
        <w:rPr>
          <w:rStyle w:val="Policepardfaut1"/>
          <w:rFonts w:ascii="Times New Roman" w:hAnsi="Times New Roman" w:cs="Arial"/>
          <w:b/>
          <w:bCs/>
        </w:rPr>
        <w:t>Club de l’amitié</w:t>
      </w:r>
      <w:r>
        <w:rPr>
          <w:rStyle w:val="Policepardfaut1"/>
          <w:rFonts w:ascii="Times New Roman" w:hAnsi="Times New Roman" w:cs="Arial"/>
        </w:rPr>
        <w:t> : 660€</w:t>
      </w:r>
    </w:p>
    <w:p w14:paraId="7E9C10E5" w14:textId="77777777" w:rsidR="00DA4910" w:rsidRDefault="00DA4910" w:rsidP="003302EF">
      <w:pPr>
        <w:spacing w:after="0" w:line="257" w:lineRule="auto"/>
        <w:rPr>
          <w:rStyle w:val="Policepardfaut1"/>
          <w:rFonts w:ascii="Times New Roman" w:hAnsi="Times New Roman" w:cs="Arial"/>
        </w:rPr>
      </w:pPr>
      <w:r w:rsidRPr="00BC012B">
        <w:rPr>
          <w:rStyle w:val="Policepardfaut1"/>
          <w:rFonts w:ascii="Times New Roman" w:hAnsi="Times New Roman" w:cs="Arial"/>
          <w:b/>
          <w:bCs/>
        </w:rPr>
        <w:t>L’Allier livre ouvert</w:t>
      </w:r>
      <w:r>
        <w:rPr>
          <w:rStyle w:val="Policepardfaut1"/>
          <w:rFonts w:ascii="Times New Roman" w:hAnsi="Times New Roman" w:cs="Arial"/>
        </w:rPr>
        <w:t> : 42€</w:t>
      </w:r>
    </w:p>
    <w:p w14:paraId="444129B6" w14:textId="77777777" w:rsidR="00DA4910" w:rsidRDefault="00DA4910" w:rsidP="003302EF">
      <w:pPr>
        <w:spacing w:after="0" w:line="257" w:lineRule="auto"/>
        <w:rPr>
          <w:rStyle w:val="Policepardfaut1"/>
          <w:rFonts w:ascii="Times New Roman" w:hAnsi="Times New Roman" w:cs="Arial"/>
        </w:rPr>
      </w:pPr>
      <w:r w:rsidRPr="00BC012B">
        <w:rPr>
          <w:rStyle w:val="Policepardfaut1"/>
          <w:rFonts w:ascii="Times New Roman" w:hAnsi="Times New Roman" w:cs="Arial"/>
          <w:b/>
          <w:bCs/>
        </w:rPr>
        <w:t>Sapeur-pompier Huriel</w:t>
      </w:r>
      <w:r>
        <w:rPr>
          <w:rStyle w:val="Policepardfaut1"/>
          <w:rFonts w:ascii="Times New Roman" w:hAnsi="Times New Roman" w:cs="Arial"/>
        </w:rPr>
        <w:t> : 200€</w:t>
      </w:r>
    </w:p>
    <w:p w14:paraId="12EA0329" w14:textId="77777777" w:rsidR="00DA4910" w:rsidRDefault="00DA4910" w:rsidP="003302EF">
      <w:pPr>
        <w:spacing w:after="0" w:line="257" w:lineRule="auto"/>
        <w:rPr>
          <w:rStyle w:val="Policepardfaut1"/>
          <w:rFonts w:ascii="Times New Roman" w:hAnsi="Times New Roman" w:cs="Arial"/>
        </w:rPr>
      </w:pPr>
      <w:r w:rsidRPr="00BC012B">
        <w:rPr>
          <w:rStyle w:val="Policepardfaut1"/>
          <w:rFonts w:ascii="Times New Roman" w:hAnsi="Times New Roman" w:cs="Arial"/>
          <w:b/>
          <w:bCs/>
        </w:rPr>
        <w:t>Association Vivre à Viplaix</w:t>
      </w:r>
      <w:r>
        <w:rPr>
          <w:rStyle w:val="Policepardfaut1"/>
          <w:rFonts w:ascii="Times New Roman" w:hAnsi="Times New Roman" w:cs="Arial"/>
        </w:rPr>
        <w:t> : 305€</w:t>
      </w:r>
    </w:p>
    <w:p w14:paraId="3687FFC8" w14:textId="77777777" w:rsidR="00DA4910" w:rsidRDefault="00DA4910" w:rsidP="00DA4910">
      <w:pPr>
        <w:pStyle w:val="NormalWeb"/>
        <w:spacing w:after="0"/>
        <w:ind w:left="1080"/>
      </w:pPr>
    </w:p>
    <w:p w14:paraId="484A2DC8" w14:textId="77777777" w:rsidR="003302EF" w:rsidRDefault="003302EF" w:rsidP="00DA4910">
      <w:pPr>
        <w:pStyle w:val="NormalWeb"/>
        <w:spacing w:after="0"/>
        <w:ind w:left="1080"/>
      </w:pPr>
    </w:p>
    <w:p w14:paraId="6DB81499" w14:textId="7EE0FD9F" w:rsidR="00BC0731" w:rsidRDefault="003714D8" w:rsidP="00F635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Informations</w:t>
      </w:r>
    </w:p>
    <w:p w14:paraId="2083AF7F" w14:textId="7730A45C" w:rsidR="003714D8" w:rsidRPr="003714D8" w:rsidRDefault="003714D8" w:rsidP="003714D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4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tables qui équipaient la salle polyvalente ne sont toujours pas </w:t>
      </w:r>
      <w:r w:rsidR="00340328" w:rsidRPr="003714D8">
        <w:rPr>
          <w:rFonts w:ascii="Times New Roman" w:eastAsia="Times New Roman" w:hAnsi="Times New Roman" w:cs="Times New Roman"/>
          <w:sz w:val="24"/>
          <w:szCs w:val="24"/>
          <w:lang w:eastAsia="fr-FR"/>
        </w:rPr>
        <w:t>vendues. Jean</w:t>
      </w:r>
      <w:r w:rsidRPr="003714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Michel propose de diminuer leur prix de vente et de la passer à 500€ le lot complet.</w:t>
      </w:r>
    </w:p>
    <w:p w14:paraId="3B57B57F" w14:textId="24D44BC9" w:rsidR="003714D8" w:rsidRPr="003714D8" w:rsidRDefault="003714D8" w:rsidP="0007679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4D8">
        <w:rPr>
          <w:rFonts w:ascii="Times New Roman" w:eastAsia="Times New Roman" w:hAnsi="Times New Roman" w:cs="Times New Roman"/>
          <w:sz w:val="24"/>
          <w:szCs w:val="24"/>
          <w:lang w:eastAsia="fr-FR"/>
        </w:rPr>
        <w:t>Validation des conseillers présents.</w:t>
      </w:r>
    </w:p>
    <w:p w14:paraId="7F6C2C3E" w14:textId="77777777" w:rsidR="003714D8" w:rsidRDefault="003714D8" w:rsidP="003714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EA38A3" w14:textId="0FC191EF" w:rsidR="003714D8" w:rsidRPr="003714D8" w:rsidRDefault="003714D8" w:rsidP="003714D8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4D8">
        <w:rPr>
          <w:rFonts w:ascii="Times New Roman" w:eastAsia="Times New Roman" w:hAnsi="Times New Roman" w:cs="Times New Roman"/>
          <w:sz w:val="24"/>
          <w:szCs w:val="24"/>
          <w:lang w:eastAsia="fr-FR"/>
        </w:rPr>
        <w:t>La cérémonie du 8 mai se déroulera à 10h30 et sera suivi</w:t>
      </w:r>
      <w:r w:rsidR="00006CF4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3714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pot de l’amitié à la mairie. Tous les conseillers sont invités.</w:t>
      </w:r>
    </w:p>
    <w:p w14:paraId="55C161A6" w14:textId="77777777" w:rsidR="003714D8" w:rsidRPr="003714D8" w:rsidRDefault="003714D8" w:rsidP="003714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E13DAA" w14:textId="3A279B89" w:rsidR="002E350C" w:rsidRPr="00F50588" w:rsidRDefault="009D4D55" w:rsidP="00794057">
      <w:pPr>
        <w:pStyle w:val="Paragraphedelist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0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bulletin </w:t>
      </w:r>
      <w:r w:rsidR="003714D8" w:rsidRPr="00F50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municipal qui a été préparé par Didier et remanié par </w:t>
      </w:r>
      <w:r w:rsidR="00E25769" w:rsidRPr="00F50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Jean-Michel et </w:t>
      </w:r>
      <w:r w:rsidR="003714D8" w:rsidRPr="00F50588">
        <w:rPr>
          <w:rFonts w:ascii="Times New Roman" w:eastAsia="Times New Roman" w:hAnsi="Times New Roman" w:cs="Times New Roman"/>
          <w:sz w:val="24"/>
          <w:szCs w:val="24"/>
          <w:lang w:eastAsia="fr-FR"/>
        </w:rPr>
        <w:t>Alain</w:t>
      </w:r>
      <w:r w:rsidR="00E25769" w:rsidRPr="00F5058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3714D8" w:rsidRPr="00F50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présenté aux conseillers. Il est décidé d’envoyer la nouvelle version à Marjolaine afin qu’elle rajoute le mot de Vivre à Viplaix et vérifie les différents textes. Il sera ensuite </w:t>
      </w:r>
      <w:r w:rsidR="005E23E7" w:rsidRPr="00F50588">
        <w:rPr>
          <w:rFonts w:ascii="Times New Roman" w:eastAsia="Times New Roman" w:hAnsi="Times New Roman" w:cs="Times New Roman"/>
          <w:sz w:val="24"/>
          <w:szCs w:val="24"/>
          <w:lang w:eastAsia="fr-FR"/>
        </w:rPr>
        <w:t>renvoyé</w:t>
      </w:r>
      <w:r w:rsidR="003714D8" w:rsidRPr="00F505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Didier qui se chargera de la mise en page</w:t>
      </w:r>
      <w:r w:rsidR="001803A4" w:rsidRPr="00F5058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C26822A" w14:textId="669917BA" w:rsidR="002E350C" w:rsidRDefault="002E350C" w:rsidP="002E350C">
      <w:pPr>
        <w:pStyle w:val="Paragraphedelist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maire informe que le département projette d’installer un panneau LED comme </w:t>
      </w:r>
      <w:r w:rsidRPr="000826AF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</w:t>
      </w:r>
      <w:r w:rsidR="00F50588" w:rsidRPr="000826AF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électronique d’informations. </w:t>
      </w:r>
      <w:r w:rsidR="000826AF">
        <w:rPr>
          <w:rFonts w:ascii="Times New Roman" w:eastAsia="Times New Roman" w:hAnsi="Times New Roman" w:cs="Times New Roman"/>
          <w:sz w:val="24"/>
          <w:szCs w:val="24"/>
          <w:lang w:eastAsia="fr-FR"/>
        </w:rPr>
        <w:t>L’achat et la mise en place de ce</w:t>
      </w:r>
      <w:r w:rsidRPr="000826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panneau </w:t>
      </w:r>
      <w:r w:rsidR="002B2FC7">
        <w:rPr>
          <w:rFonts w:ascii="Times New Roman" w:eastAsia="Times New Roman" w:hAnsi="Times New Roman" w:cs="Times New Roman"/>
          <w:sz w:val="24"/>
          <w:szCs w:val="24"/>
          <w:lang w:eastAsia="fr-FR"/>
        </w:rPr>
        <w:t>sont</w:t>
      </w:r>
      <w:r w:rsidRPr="000826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charge du département.</w:t>
      </w:r>
    </w:p>
    <w:p w14:paraId="4A5266E1" w14:textId="25E9AC9A" w:rsidR="002E350C" w:rsidRPr="002E350C" w:rsidRDefault="002E350C" w:rsidP="002E350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74D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conseil valide cette proposition et défini l’emplacement qui sera vers l’école maternelle rue principale.</w:t>
      </w:r>
    </w:p>
    <w:p w14:paraId="56233B7A" w14:textId="59E73E69" w:rsidR="008E64F6" w:rsidRPr="00BC0731" w:rsidRDefault="009D2813" w:rsidP="00F63581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C07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Questions diverses</w:t>
      </w:r>
    </w:p>
    <w:p w14:paraId="22CFBFBF" w14:textId="20F92997" w:rsidR="00BB1D01" w:rsidRDefault="00CC04C5" w:rsidP="00F635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Marjolaine indique que suite au projet de décoration de la salle polyvalente avec des photos, elle a trouvé une proposition qui couterait environ 50 à 60 € par photo encadré</w:t>
      </w:r>
      <w:r w:rsidR="0007679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lui reste simplement </w:t>
      </w:r>
      <w:r w:rsidRPr="003F67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définir </w:t>
      </w:r>
      <w:r w:rsidR="003F674D" w:rsidRPr="003F674D">
        <w:rPr>
          <w:rFonts w:ascii="Times New Roman" w:eastAsia="Times New Roman" w:hAnsi="Times New Roman" w:cs="Times New Roman"/>
          <w:sz w:val="24"/>
          <w:szCs w:val="24"/>
          <w:lang w:eastAsia="fr-FR"/>
        </w:rPr>
        <w:t>le nombre de</w:t>
      </w:r>
      <w:r w:rsidRPr="003F67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tableau</w:t>
      </w:r>
      <w:r w:rsidR="004B7AFA" w:rsidRPr="003F674D"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Pr="003F67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ser</w:t>
      </w:r>
      <w:r w:rsidR="00AA7C85" w:rsidRPr="003F674D">
        <w:rPr>
          <w:rFonts w:ascii="Times New Roman" w:eastAsia="Times New Roman" w:hAnsi="Times New Roman" w:cs="Times New Roman"/>
          <w:sz w:val="24"/>
          <w:szCs w:val="24"/>
          <w:lang w:eastAsia="fr-FR"/>
        </w:rPr>
        <w:t>ai</w:t>
      </w:r>
      <w:r w:rsidR="004B7AFA" w:rsidRPr="003F674D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Pr="003F674D">
        <w:rPr>
          <w:rFonts w:ascii="Times New Roman" w:eastAsia="Times New Roman" w:hAnsi="Times New Roman" w:cs="Times New Roman"/>
          <w:sz w:val="24"/>
          <w:szCs w:val="24"/>
          <w:lang w:eastAsia="fr-FR"/>
        </w:rPr>
        <w:t>t à commander</w:t>
      </w:r>
      <w:r w:rsidR="003F674D" w:rsidRPr="003F674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2EAB079" w14:textId="7F7231C4" w:rsidR="00CC04C5" w:rsidRPr="00006BE7" w:rsidRDefault="00CC04C5" w:rsidP="00F635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conseillers trouvent cette proposition intéressante. </w:t>
      </w:r>
    </w:p>
    <w:p w14:paraId="46E49E8C" w14:textId="77777777" w:rsidR="002C4AA9" w:rsidRPr="00221670" w:rsidRDefault="002C4AA9" w:rsidP="00F6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E4D05A" w14:textId="67CA368C" w:rsidR="002C4AA9" w:rsidRDefault="00C96B21" w:rsidP="00F635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22167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La séance est levée à </w:t>
      </w:r>
      <w:r w:rsidR="00476F8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20</w:t>
      </w:r>
      <w:r w:rsidR="00D538EF" w:rsidRPr="0022167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h</w:t>
      </w:r>
      <w:r w:rsidR="00991F3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00</w:t>
      </w:r>
    </w:p>
    <w:tbl>
      <w:tblPr>
        <w:tblStyle w:val="Grilledutableau"/>
        <w:tblW w:w="107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9"/>
        <w:gridCol w:w="2594"/>
        <w:gridCol w:w="2329"/>
        <w:gridCol w:w="2356"/>
        <w:gridCol w:w="2242"/>
      </w:tblGrid>
      <w:tr w:rsidR="00012905" w:rsidRPr="00221670" w14:paraId="3D0694C5" w14:textId="77777777" w:rsidTr="003302EF">
        <w:tc>
          <w:tcPr>
            <w:tcW w:w="1249" w:type="dxa"/>
          </w:tcPr>
          <w:p w14:paraId="7D1E21F3" w14:textId="0816177D" w:rsidR="00012905" w:rsidRPr="00221670" w:rsidRDefault="00012905" w:rsidP="00584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Présent</w:t>
            </w:r>
            <w:r w:rsidR="004D6C6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94" w:type="dxa"/>
          </w:tcPr>
          <w:p w14:paraId="2E47399B" w14:textId="5E47A1FC" w:rsidR="00012905" w:rsidRPr="00221670" w:rsidRDefault="00012905" w:rsidP="0058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670">
              <w:rPr>
                <w:rFonts w:ascii="Times New Roman" w:hAnsi="Times New Roman" w:cs="Times New Roman"/>
                <w:b/>
              </w:rPr>
              <w:t>Elu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329" w:type="dxa"/>
          </w:tcPr>
          <w:p w14:paraId="7D79CD6A" w14:textId="77777777" w:rsidR="00012905" w:rsidRPr="00221670" w:rsidRDefault="00012905" w:rsidP="0058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670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2356" w:type="dxa"/>
          </w:tcPr>
          <w:p w14:paraId="44CA611B" w14:textId="77777777" w:rsidR="00012905" w:rsidRPr="00221670" w:rsidRDefault="00012905" w:rsidP="0058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670">
              <w:rPr>
                <w:rFonts w:ascii="Times New Roman" w:hAnsi="Times New Roman" w:cs="Times New Roman"/>
                <w:b/>
              </w:rPr>
              <w:t>Nom de la délibération</w:t>
            </w:r>
          </w:p>
        </w:tc>
        <w:tc>
          <w:tcPr>
            <w:tcW w:w="2242" w:type="dxa"/>
          </w:tcPr>
          <w:p w14:paraId="22FC1D8E" w14:textId="77777777" w:rsidR="00012905" w:rsidRPr="00221670" w:rsidRDefault="00012905" w:rsidP="0058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670">
              <w:rPr>
                <w:rFonts w:ascii="Times New Roman" w:hAnsi="Times New Roman" w:cs="Times New Roman"/>
                <w:b/>
              </w:rPr>
              <w:t>Numéro de la délibération</w:t>
            </w:r>
          </w:p>
        </w:tc>
      </w:tr>
      <w:tr w:rsidR="00012905" w:rsidRPr="00221670" w14:paraId="09571FD4" w14:textId="77777777" w:rsidTr="003302EF">
        <w:tc>
          <w:tcPr>
            <w:tcW w:w="1249" w:type="dxa"/>
          </w:tcPr>
          <w:p w14:paraId="6C9722A2" w14:textId="310D4663" w:rsidR="00012905" w:rsidRPr="00221670" w:rsidRDefault="00012905" w:rsidP="00584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594" w:type="dxa"/>
          </w:tcPr>
          <w:p w14:paraId="40862EA5" w14:textId="08096C94" w:rsidR="00012905" w:rsidRPr="00221670" w:rsidRDefault="00012905" w:rsidP="0058418B">
            <w:pPr>
              <w:rPr>
                <w:rFonts w:ascii="Times New Roman" w:hAnsi="Times New Roman" w:cs="Times New Roman"/>
              </w:rPr>
            </w:pPr>
            <w:r w:rsidRPr="00221670">
              <w:rPr>
                <w:rFonts w:ascii="Times New Roman" w:hAnsi="Times New Roman" w:cs="Times New Roman"/>
              </w:rPr>
              <w:t>Jean Michel PALLIOT</w:t>
            </w:r>
          </w:p>
        </w:tc>
        <w:tc>
          <w:tcPr>
            <w:tcW w:w="2329" w:type="dxa"/>
          </w:tcPr>
          <w:p w14:paraId="76B84B0D" w14:textId="77777777" w:rsidR="00012905" w:rsidRPr="00221670" w:rsidRDefault="00012905" w:rsidP="00584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 w:val="restart"/>
          </w:tcPr>
          <w:p w14:paraId="23BB195C" w14:textId="77777777" w:rsidR="00012905" w:rsidRDefault="00012905" w:rsidP="0058418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9A4FEE8" w14:textId="5C827925" w:rsidR="00F5269E" w:rsidRDefault="00CC04C5" w:rsidP="00CC04C5">
            <w:pPr>
              <w:pStyle w:val="Paragraphedeliste"/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spacing w:after="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0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Budget 2023</w:t>
            </w:r>
          </w:p>
          <w:p w14:paraId="2ECE92F5" w14:textId="77777777" w:rsidR="00E25769" w:rsidRPr="00CC04C5" w:rsidRDefault="00E25769" w:rsidP="00E25769">
            <w:pPr>
              <w:pStyle w:val="Paragraphedeliste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B2B8AB7" w14:textId="58B6DC1C" w:rsidR="00CC04C5" w:rsidRDefault="00CC04C5" w:rsidP="00CC04C5">
            <w:pPr>
              <w:pStyle w:val="Paragraphedeliste"/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spacing w:after="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Taxe d’habitation</w:t>
            </w:r>
          </w:p>
          <w:p w14:paraId="5055E660" w14:textId="77777777" w:rsidR="00E25769" w:rsidRPr="00E25769" w:rsidRDefault="00E25769" w:rsidP="00E25769">
            <w:pPr>
              <w:pStyle w:val="Paragraphedelist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F50F864" w14:textId="77777777" w:rsidR="00E25769" w:rsidRDefault="00E25769" w:rsidP="00E25769">
            <w:pPr>
              <w:pStyle w:val="Paragraphedeliste"/>
              <w:spacing w:after="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A2701AC" w14:textId="6229AFF1" w:rsidR="00CC04C5" w:rsidRPr="00CC04C5" w:rsidRDefault="00E25769" w:rsidP="00CC04C5">
            <w:pPr>
              <w:pStyle w:val="Paragraphedeliste"/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spacing w:after="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Subventions aux associations</w:t>
            </w:r>
          </w:p>
          <w:p w14:paraId="7B541F20" w14:textId="77777777" w:rsidR="00F5269E" w:rsidRDefault="00F5269E" w:rsidP="00F5269E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7242D22" w14:textId="13BC2087" w:rsidR="00012905" w:rsidRPr="00F5269E" w:rsidRDefault="00012905" w:rsidP="00F5269E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42" w:type="dxa"/>
            <w:vMerge w:val="restart"/>
          </w:tcPr>
          <w:p w14:paraId="0C2FB234" w14:textId="77777777" w:rsidR="00F5269E" w:rsidRDefault="00F5269E" w:rsidP="0058418B">
            <w:pPr>
              <w:rPr>
                <w:rFonts w:ascii="Times New Roman" w:hAnsi="Times New Roman" w:cs="Times New Roman"/>
              </w:rPr>
            </w:pPr>
          </w:p>
          <w:p w14:paraId="3E7C5B88" w14:textId="77777777" w:rsidR="00F5269E" w:rsidRDefault="00F5269E" w:rsidP="0058418B">
            <w:pPr>
              <w:rPr>
                <w:rFonts w:ascii="Times New Roman" w:hAnsi="Times New Roman" w:cs="Times New Roman"/>
              </w:rPr>
            </w:pPr>
          </w:p>
          <w:p w14:paraId="434ED08C" w14:textId="790270FB" w:rsidR="00012905" w:rsidRDefault="00A35D47" w:rsidP="00F5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DEL202304070013</w:t>
            </w:r>
          </w:p>
          <w:p w14:paraId="41A36F6A" w14:textId="77777777" w:rsidR="00F5269E" w:rsidRDefault="00F5269E" w:rsidP="00F5269E">
            <w:pPr>
              <w:rPr>
                <w:rFonts w:ascii="Times New Roman" w:hAnsi="Times New Roman" w:cs="Times New Roman"/>
              </w:rPr>
            </w:pPr>
          </w:p>
          <w:p w14:paraId="10B17E8A" w14:textId="77777777" w:rsidR="006668CF" w:rsidRDefault="006668CF" w:rsidP="00F5269E">
            <w:pPr>
              <w:rPr>
                <w:rFonts w:ascii="Times New Roman" w:hAnsi="Times New Roman" w:cs="Times New Roman"/>
              </w:rPr>
            </w:pPr>
          </w:p>
          <w:p w14:paraId="3A58EAC8" w14:textId="20B9BDC2" w:rsidR="00F5269E" w:rsidRDefault="00E25769" w:rsidP="00F5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DEL202304070012</w:t>
            </w:r>
          </w:p>
          <w:p w14:paraId="0033D819" w14:textId="77777777" w:rsidR="00F5269E" w:rsidRDefault="00F5269E" w:rsidP="00F5269E">
            <w:pPr>
              <w:rPr>
                <w:rFonts w:ascii="Times New Roman" w:hAnsi="Times New Roman" w:cs="Times New Roman"/>
              </w:rPr>
            </w:pPr>
          </w:p>
          <w:p w14:paraId="61E42B1F" w14:textId="27E53185" w:rsidR="00F5269E" w:rsidRPr="00221670" w:rsidRDefault="00F5269E" w:rsidP="00F5269E">
            <w:pPr>
              <w:rPr>
                <w:rFonts w:ascii="Times New Roman" w:hAnsi="Times New Roman" w:cs="Times New Roman"/>
              </w:rPr>
            </w:pPr>
          </w:p>
        </w:tc>
      </w:tr>
      <w:tr w:rsidR="00012905" w:rsidRPr="00221670" w14:paraId="0DF9EDED" w14:textId="77777777" w:rsidTr="003302EF">
        <w:tc>
          <w:tcPr>
            <w:tcW w:w="1249" w:type="dxa"/>
          </w:tcPr>
          <w:p w14:paraId="342110D5" w14:textId="45782C14" w:rsidR="00012905" w:rsidRPr="00221670" w:rsidRDefault="00012905" w:rsidP="00584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594" w:type="dxa"/>
          </w:tcPr>
          <w:p w14:paraId="6E6CBA24" w14:textId="7D189BE1" w:rsidR="00012905" w:rsidRPr="00221670" w:rsidRDefault="00012905" w:rsidP="0058418B">
            <w:pPr>
              <w:rPr>
                <w:rFonts w:ascii="Times New Roman" w:hAnsi="Times New Roman" w:cs="Times New Roman"/>
              </w:rPr>
            </w:pPr>
            <w:r w:rsidRPr="00221670">
              <w:rPr>
                <w:rFonts w:ascii="Times New Roman" w:hAnsi="Times New Roman" w:cs="Times New Roman"/>
              </w:rPr>
              <w:t>Alain CROISSY</w:t>
            </w:r>
          </w:p>
        </w:tc>
        <w:tc>
          <w:tcPr>
            <w:tcW w:w="2329" w:type="dxa"/>
          </w:tcPr>
          <w:p w14:paraId="5C2DE4C6" w14:textId="77777777" w:rsidR="00012905" w:rsidRPr="00221670" w:rsidRDefault="00012905" w:rsidP="00584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14:paraId="67AE56C5" w14:textId="77777777" w:rsidR="00012905" w:rsidRPr="00221670" w:rsidRDefault="00012905" w:rsidP="00584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14:paraId="2643B16A" w14:textId="77777777" w:rsidR="00012905" w:rsidRPr="00221670" w:rsidRDefault="00012905" w:rsidP="0058418B">
            <w:pPr>
              <w:rPr>
                <w:rFonts w:ascii="Times New Roman" w:hAnsi="Times New Roman" w:cs="Times New Roman"/>
              </w:rPr>
            </w:pPr>
          </w:p>
        </w:tc>
      </w:tr>
      <w:tr w:rsidR="00012905" w:rsidRPr="00221670" w14:paraId="5E041062" w14:textId="77777777" w:rsidTr="003302EF">
        <w:tc>
          <w:tcPr>
            <w:tcW w:w="1249" w:type="dxa"/>
          </w:tcPr>
          <w:p w14:paraId="65036688" w14:textId="49082CB9" w:rsidR="00012905" w:rsidRPr="00221670" w:rsidRDefault="00CC04C5" w:rsidP="0099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Non</w:t>
            </w:r>
          </w:p>
        </w:tc>
        <w:tc>
          <w:tcPr>
            <w:tcW w:w="2594" w:type="dxa"/>
          </w:tcPr>
          <w:p w14:paraId="48295C56" w14:textId="738F8C39" w:rsidR="00012905" w:rsidRPr="00221670" w:rsidRDefault="00012905" w:rsidP="0058418B">
            <w:pPr>
              <w:rPr>
                <w:rFonts w:ascii="Times New Roman" w:hAnsi="Times New Roman" w:cs="Times New Roman"/>
              </w:rPr>
            </w:pPr>
            <w:r w:rsidRPr="00221670">
              <w:rPr>
                <w:rFonts w:ascii="Times New Roman" w:hAnsi="Times New Roman" w:cs="Times New Roman"/>
              </w:rPr>
              <w:t>Brigitte BIERNAT</w:t>
            </w:r>
          </w:p>
        </w:tc>
        <w:tc>
          <w:tcPr>
            <w:tcW w:w="2329" w:type="dxa"/>
          </w:tcPr>
          <w:p w14:paraId="75C834C4" w14:textId="2B79672F" w:rsidR="00012905" w:rsidRPr="00221670" w:rsidRDefault="00CC04C5" w:rsidP="00584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Procuration à </w:t>
            </w:r>
            <w:r w:rsidRPr="00221670">
              <w:rPr>
                <w:rFonts w:ascii="Times New Roman" w:hAnsi="Times New Roman" w:cs="Times New Roman"/>
              </w:rPr>
              <w:t>Marjolaine GIRAULT</w:t>
            </w:r>
          </w:p>
        </w:tc>
        <w:tc>
          <w:tcPr>
            <w:tcW w:w="2356" w:type="dxa"/>
            <w:vMerge/>
          </w:tcPr>
          <w:p w14:paraId="1C9D4821" w14:textId="77777777" w:rsidR="00012905" w:rsidRPr="00221670" w:rsidRDefault="00012905" w:rsidP="00584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14:paraId="58E4D674" w14:textId="77777777" w:rsidR="00012905" w:rsidRPr="00221670" w:rsidRDefault="00012905" w:rsidP="0058418B">
            <w:pPr>
              <w:rPr>
                <w:rFonts w:ascii="Times New Roman" w:hAnsi="Times New Roman" w:cs="Times New Roman"/>
              </w:rPr>
            </w:pPr>
          </w:p>
        </w:tc>
      </w:tr>
      <w:tr w:rsidR="00991F3A" w:rsidRPr="00221670" w14:paraId="05A8DB8E" w14:textId="77777777" w:rsidTr="003302EF">
        <w:tc>
          <w:tcPr>
            <w:tcW w:w="1249" w:type="dxa"/>
          </w:tcPr>
          <w:p w14:paraId="55F70D1A" w14:textId="3F9E4677" w:rsidR="00991F3A" w:rsidRPr="00221670" w:rsidRDefault="00CC04C5" w:rsidP="00CC0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594" w:type="dxa"/>
          </w:tcPr>
          <w:p w14:paraId="5CF55D30" w14:textId="4E816B1D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  <w:r w:rsidRPr="00221670">
              <w:rPr>
                <w:rFonts w:ascii="Times New Roman" w:hAnsi="Times New Roman" w:cs="Times New Roman"/>
              </w:rPr>
              <w:t>Marjolaine GIRAULT</w:t>
            </w:r>
          </w:p>
        </w:tc>
        <w:tc>
          <w:tcPr>
            <w:tcW w:w="2329" w:type="dxa"/>
          </w:tcPr>
          <w:p w14:paraId="4C04CF42" w14:textId="43E131A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14:paraId="6F8FE221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14:paraId="7DE2ECF1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</w:tr>
      <w:tr w:rsidR="00991F3A" w:rsidRPr="00221670" w14:paraId="6CFC7CCE" w14:textId="77777777" w:rsidTr="003302EF">
        <w:tc>
          <w:tcPr>
            <w:tcW w:w="1249" w:type="dxa"/>
          </w:tcPr>
          <w:p w14:paraId="05977D7C" w14:textId="32D525EF" w:rsidR="00991F3A" w:rsidRPr="00221670" w:rsidRDefault="00741104" w:rsidP="00991F3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</w:rPr>
              <w:t xml:space="preserve">         Non</w:t>
            </w:r>
          </w:p>
        </w:tc>
        <w:tc>
          <w:tcPr>
            <w:tcW w:w="2594" w:type="dxa"/>
          </w:tcPr>
          <w:p w14:paraId="39FB8FC2" w14:textId="01BE88EC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  <w:r w:rsidRPr="00221670">
              <w:rPr>
                <w:rFonts w:ascii="Times New Roman" w:eastAsia="Times New Roman" w:hAnsi="Times New Roman" w:cs="Times New Roman"/>
                <w:lang w:eastAsia="fr-FR"/>
              </w:rPr>
              <w:t>Hubert DEBEDDE</w:t>
            </w:r>
            <w:r w:rsidRPr="002216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9" w:type="dxa"/>
          </w:tcPr>
          <w:p w14:paraId="02C6CFA9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14:paraId="20193321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14:paraId="01CB3D54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</w:tr>
      <w:tr w:rsidR="00991F3A" w:rsidRPr="00221670" w14:paraId="4F071CE3" w14:textId="77777777" w:rsidTr="003302EF">
        <w:tc>
          <w:tcPr>
            <w:tcW w:w="1249" w:type="dxa"/>
          </w:tcPr>
          <w:p w14:paraId="19374109" w14:textId="63BF89A4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594" w:type="dxa"/>
          </w:tcPr>
          <w:p w14:paraId="2D4CDB02" w14:textId="1FB5B6EC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  <w:r w:rsidRPr="00221670">
              <w:rPr>
                <w:rFonts w:ascii="Times New Roman" w:hAnsi="Times New Roman" w:cs="Times New Roman"/>
              </w:rPr>
              <w:t>Claude DELEMONTEZ</w:t>
            </w:r>
          </w:p>
        </w:tc>
        <w:tc>
          <w:tcPr>
            <w:tcW w:w="2329" w:type="dxa"/>
          </w:tcPr>
          <w:p w14:paraId="787AA2FB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14:paraId="13CB6D6C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14:paraId="7E3193FC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</w:tr>
      <w:tr w:rsidR="00991F3A" w:rsidRPr="00221670" w14:paraId="543EDDCD" w14:textId="77777777" w:rsidTr="003302EF">
        <w:tc>
          <w:tcPr>
            <w:tcW w:w="1249" w:type="dxa"/>
          </w:tcPr>
          <w:p w14:paraId="1EFB7D00" w14:textId="4363D883" w:rsidR="00991F3A" w:rsidRPr="00221670" w:rsidRDefault="00CC04C5" w:rsidP="00991F3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2594" w:type="dxa"/>
          </w:tcPr>
          <w:p w14:paraId="5EEC117F" w14:textId="77C6C188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  <w:r w:rsidRPr="00221670">
              <w:rPr>
                <w:rFonts w:ascii="Times New Roman" w:eastAsia="Times New Roman" w:hAnsi="Times New Roman" w:cs="Times New Roman"/>
                <w:lang w:eastAsia="fr-FR"/>
              </w:rPr>
              <w:t xml:space="preserve">Yannick GHESQUIERE </w:t>
            </w:r>
          </w:p>
        </w:tc>
        <w:tc>
          <w:tcPr>
            <w:tcW w:w="2329" w:type="dxa"/>
          </w:tcPr>
          <w:p w14:paraId="21681798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14:paraId="315DEF9F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14:paraId="7BBE7296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</w:tr>
      <w:tr w:rsidR="00991F3A" w:rsidRPr="00221670" w14:paraId="306531C5" w14:textId="77777777" w:rsidTr="003302EF">
        <w:tc>
          <w:tcPr>
            <w:tcW w:w="1249" w:type="dxa"/>
          </w:tcPr>
          <w:p w14:paraId="153FACA6" w14:textId="642E52B6" w:rsidR="00991F3A" w:rsidRPr="00221670" w:rsidRDefault="00741104" w:rsidP="0099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Non</w:t>
            </w:r>
          </w:p>
        </w:tc>
        <w:tc>
          <w:tcPr>
            <w:tcW w:w="2594" w:type="dxa"/>
          </w:tcPr>
          <w:p w14:paraId="0ACFDE50" w14:textId="30F72B2A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  <w:r w:rsidRPr="00221670">
              <w:rPr>
                <w:rFonts w:ascii="Times New Roman" w:hAnsi="Times New Roman" w:cs="Times New Roman"/>
              </w:rPr>
              <w:t>Jean Christophe MONFERRAN</w:t>
            </w:r>
          </w:p>
        </w:tc>
        <w:tc>
          <w:tcPr>
            <w:tcW w:w="2329" w:type="dxa"/>
          </w:tcPr>
          <w:p w14:paraId="6390588F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14:paraId="33A25A50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14:paraId="766F8C45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</w:tr>
      <w:tr w:rsidR="00991F3A" w:rsidRPr="00221670" w14:paraId="393CB520" w14:textId="77777777" w:rsidTr="003302EF">
        <w:tc>
          <w:tcPr>
            <w:tcW w:w="1249" w:type="dxa"/>
          </w:tcPr>
          <w:p w14:paraId="103B81BA" w14:textId="08F897B8" w:rsidR="00991F3A" w:rsidRPr="00221670" w:rsidRDefault="00CC04C5" w:rsidP="0099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Non</w:t>
            </w:r>
          </w:p>
        </w:tc>
        <w:tc>
          <w:tcPr>
            <w:tcW w:w="2594" w:type="dxa"/>
          </w:tcPr>
          <w:p w14:paraId="35333267" w14:textId="46CF0D3C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  <w:r w:rsidRPr="00221670">
              <w:rPr>
                <w:rFonts w:ascii="Times New Roman" w:hAnsi="Times New Roman" w:cs="Times New Roman"/>
              </w:rPr>
              <w:t>Didier MANTZ</w:t>
            </w:r>
          </w:p>
        </w:tc>
        <w:tc>
          <w:tcPr>
            <w:tcW w:w="2329" w:type="dxa"/>
          </w:tcPr>
          <w:p w14:paraId="0821591C" w14:textId="60C010C8" w:rsidR="00991F3A" w:rsidRPr="00221670" w:rsidRDefault="00CC04C5" w:rsidP="0099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Procuration à </w:t>
            </w:r>
            <w:r w:rsidRPr="00221670">
              <w:rPr>
                <w:rFonts w:ascii="Times New Roman" w:eastAsia="Times New Roman" w:hAnsi="Times New Roman" w:cs="Times New Roman"/>
                <w:lang w:eastAsia="fr-FR"/>
              </w:rPr>
              <w:t>Yannick GHESQUIERE</w:t>
            </w:r>
          </w:p>
        </w:tc>
        <w:tc>
          <w:tcPr>
            <w:tcW w:w="2356" w:type="dxa"/>
            <w:vMerge/>
          </w:tcPr>
          <w:p w14:paraId="026449CA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14:paraId="5C6F69DA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</w:tr>
      <w:tr w:rsidR="00991F3A" w:rsidRPr="00221670" w14:paraId="1082EFC6" w14:textId="77777777" w:rsidTr="003302EF">
        <w:tc>
          <w:tcPr>
            <w:tcW w:w="1249" w:type="dxa"/>
          </w:tcPr>
          <w:p w14:paraId="6E42239C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</w:tcPr>
          <w:p w14:paraId="68FD70CD" w14:textId="55EC889F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14:paraId="5DDD630E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14:paraId="112DF039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/>
          </w:tcPr>
          <w:p w14:paraId="2A656FE8" w14:textId="77777777" w:rsidR="00991F3A" w:rsidRPr="00221670" w:rsidRDefault="00991F3A" w:rsidP="00991F3A">
            <w:pPr>
              <w:rPr>
                <w:rFonts w:ascii="Times New Roman" w:hAnsi="Times New Roman" w:cs="Times New Roman"/>
              </w:rPr>
            </w:pPr>
          </w:p>
        </w:tc>
      </w:tr>
    </w:tbl>
    <w:p w14:paraId="125FC439" w14:textId="77777777" w:rsidR="00067E0E" w:rsidRPr="00C96B21" w:rsidRDefault="00067E0E" w:rsidP="002C4AA9"/>
    <w:sectPr w:rsidR="00067E0E" w:rsidRPr="00C96B21" w:rsidSect="008B4A3A">
      <w:footerReference w:type="default" r:id="rId7"/>
      <w:pgSz w:w="11906" w:h="16838"/>
      <w:pgMar w:top="720" w:right="720" w:bottom="720" w:left="72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3165" w14:textId="77777777" w:rsidR="008D71B5" w:rsidRDefault="008D71B5">
      <w:pPr>
        <w:spacing w:after="0" w:line="240" w:lineRule="auto"/>
      </w:pPr>
      <w:r>
        <w:separator/>
      </w:r>
    </w:p>
  </w:endnote>
  <w:endnote w:type="continuationSeparator" w:id="0">
    <w:p w14:paraId="4518FDEA" w14:textId="77777777" w:rsidR="008D71B5" w:rsidRDefault="008D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486224"/>
      <w:docPartObj>
        <w:docPartGallery w:val="Page Numbers (Bottom of Page)"/>
        <w:docPartUnique/>
      </w:docPartObj>
    </w:sdtPr>
    <w:sdtContent>
      <w:p w14:paraId="037167BC" w14:textId="77777777" w:rsidR="003714D8" w:rsidRDefault="003714D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C5">
          <w:rPr>
            <w:noProof/>
          </w:rPr>
          <w:t>4</w:t>
        </w:r>
        <w:r>
          <w:fldChar w:fldCharType="end"/>
        </w:r>
      </w:p>
    </w:sdtContent>
  </w:sdt>
  <w:p w14:paraId="30A53BA3" w14:textId="77777777" w:rsidR="003714D8" w:rsidRDefault="003714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E947" w14:textId="77777777" w:rsidR="008D71B5" w:rsidRDefault="008D71B5">
      <w:pPr>
        <w:spacing w:after="0" w:line="240" w:lineRule="auto"/>
      </w:pPr>
      <w:r>
        <w:separator/>
      </w:r>
    </w:p>
  </w:footnote>
  <w:footnote w:type="continuationSeparator" w:id="0">
    <w:p w14:paraId="1997A00C" w14:textId="77777777" w:rsidR="008D71B5" w:rsidRDefault="008D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EF7"/>
    <w:multiLevelType w:val="multilevel"/>
    <w:tmpl w:val="A9606E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55E1E"/>
    <w:multiLevelType w:val="multilevel"/>
    <w:tmpl w:val="C494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63D4A"/>
    <w:multiLevelType w:val="multilevel"/>
    <w:tmpl w:val="07E0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D4EE2"/>
    <w:multiLevelType w:val="multilevel"/>
    <w:tmpl w:val="D8D8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A7E24"/>
    <w:multiLevelType w:val="multilevel"/>
    <w:tmpl w:val="2264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211C8"/>
    <w:multiLevelType w:val="multilevel"/>
    <w:tmpl w:val="B0D8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42E53"/>
    <w:multiLevelType w:val="hybridMultilevel"/>
    <w:tmpl w:val="E2D8F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4457E"/>
    <w:multiLevelType w:val="hybridMultilevel"/>
    <w:tmpl w:val="36FA9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F5971"/>
    <w:multiLevelType w:val="hybridMultilevel"/>
    <w:tmpl w:val="389C0E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130AA8"/>
    <w:multiLevelType w:val="hybridMultilevel"/>
    <w:tmpl w:val="2DF6A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B04FA"/>
    <w:multiLevelType w:val="multilevel"/>
    <w:tmpl w:val="45ECF1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C30A9"/>
    <w:multiLevelType w:val="multilevel"/>
    <w:tmpl w:val="1DD49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73507"/>
    <w:multiLevelType w:val="multilevel"/>
    <w:tmpl w:val="2FDA2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57D86"/>
    <w:multiLevelType w:val="multilevel"/>
    <w:tmpl w:val="8332A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C0581"/>
    <w:multiLevelType w:val="multilevel"/>
    <w:tmpl w:val="8332A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B18FF"/>
    <w:multiLevelType w:val="multilevel"/>
    <w:tmpl w:val="297E3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90D1C"/>
    <w:multiLevelType w:val="hybridMultilevel"/>
    <w:tmpl w:val="45C4D0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A6139"/>
    <w:multiLevelType w:val="multilevel"/>
    <w:tmpl w:val="2E70F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742042">
    <w:abstractNumId w:val="14"/>
  </w:num>
  <w:num w:numId="2" w16cid:durableId="1679774051">
    <w:abstractNumId w:val="9"/>
  </w:num>
  <w:num w:numId="3" w16cid:durableId="297418826">
    <w:abstractNumId w:val="16"/>
  </w:num>
  <w:num w:numId="4" w16cid:durableId="1553006889">
    <w:abstractNumId w:val="7"/>
  </w:num>
  <w:num w:numId="5" w16cid:durableId="1191795166">
    <w:abstractNumId w:val="13"/>
  </w:num>
  <w:num w:numId="6" w16cid:durableId="447480289">
    <w:abstractNumId w:val="8"/>
  </w:num>
  <w:num w:numId="7" w16cid:durableId="676687721">
    <w:abstractNumId w:val="2"/>
  </w:num>
  <w:num w:numId="8" w16cid:durableId="1041128318">
    <w:abstractNumId w:val="4"/>
  </w:num>
  <w:num w:numId="9" w16cid:durableId="985358265">
    <w:abstractNumId w:val="3"/>
  </w:num>
  <w:num w:numId="10" w16cid:durableId="1648316518">
    <w:abstractNumId w:val="1"/>
  </w:num>
  <w:num w:numId="11" w16cid:durableId="1251307083">
    <w:abstractNumId w:val="5"/>
  </w:num>
  <w:num w:numId="12" w16cid:durableId="1827891163">
    <w:abstractNumId w:val="12"/>
  </w:num>
  <w:num w:numId="13" w16cid:durableId="1514682488">
    <w:abstractNumId w:val="11"/>
  </w:num>
  <w:num w:numId="14" w16cid:durableId="1419793602">
    <w:abstractNumId w:val="15"/>
  </w:num>
  <w:num w:numId="15" w16cid:durableId="31007498">
    <w:abstractNumId w:val="17"/>
  </w:num>
  <w:num w:numId="16" w16cid:durableId="81075326">
    <w:abstractNumId w:val="0"/>
  </w:num>
  <w:num w:numId="17" w16cid:durableId="2121684611">
    <w:abstractNumId w:val="10"/>
  </w:num>
  <w:num w:numId="18" w16cid:durableId="147738074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3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AF"/>
    <w:rsid w:val="000006B1"/>
    <w:rsid w:val="000020AC"/>
    <w:rsid w:val="00006BE7"/>
    <w:rsid w:val="00006CF4"/>
    <w:rsid w:val="00012905"/>
    <w:rsid w:val="0001631C"/>
    <w:rsid w:val="000235F9"/>
    <w:rsid w:val="000457F0"/>
    <w:rsid w:val="000641B8"/>
    <w:rsid w:val="00067E0E"/>
    <w:rsid w:val="00072757"/>
    <w:rsid w:val="0007679E"/>
    <w:rsid w:val="000807C4"/>
    <w:rsid w:val="000826AF"/>
    <w:rsid w:val="00097638"/>
    <w:rsid w:val="000B5A34"/>
    <w:rsid w:val="000F1BA3"/>
    <w:rsid w:val="0010167B"/>
    <w:rsid w:val="00101A46"/>
    <w:rsid w:val="001071ED"/>
    <w:rsid w:val="00111BB4"/>
    <w:rsid w:val="001123F4"/>
    <w:rsid w:val="001124F5"/>
    <w:rsid w:val="00112E20"/>
    <w:rsid w:val="001163F1"/>
    <w:rsid w:val="00137745"/>
    <w:rsid w:val="001434D3"/>
    <w:rsid w:val="00161E2F"/>
    <w:rsid w:val="001722C1"/>
    <w:rsid w:val="001803A4"/>
    <w:rsid w:val="001A1433"/>
    <w:rsid w:val="001B0822"/>
    <w:rsid w:val="001B46A8"/>
    <w:rsid w:val="001B4BA8"/>
    <w:rsid w:val="001B6BD8"/>
    <w:rsid w:val="001C2312"/>
    <w:rsid w:val="001D2796"/>
    <w:rsid w:val="001F3595"/>
    <w:rsid w:val="00202FD6"/>
    <w:rsid w:val="0021427A"/>
    <w:rsid w:val="00221670"/>
    <w:rsid w:val="00244313"/>
    <w:rsid w:val="002609F2"/>
    <w:rsid w:val="00264144"/>
    <w:rsid w:val="00264712"/>
    <w:rsid w:val="00265C34"/>
    <w:rsid w:val="00273796"/>
    <w:rsid w:val="00283365"/>
    <w:rsid w:val="00290F8B"/>
    <w:rsid w:val="0029452A"/>
    <w:rsid w:val="00295087"/>
    <w:rsid w:val="002A1130"/>
    <w:rsid w:val="002A31D4"/>
    <w:rsid w:val="002B2FC7"/>
    <w:rsid w:val="002C335E"/>
    <w:rsid w:val="002C4173"/>
    <w:rsid w:val="002C4AA9"/>
    <w:rsid w:val="002E350C"/>
    <w:rsid w:val="002F2B51"/>
    <w:rsid w:val="002F384B"/>
    <w:rsid w:val="002F5F8B"/>
    <w:rsid w:val="0031478E"/>
    <w:rsid w:val="00320A4C"/>
    <w:rsid w:val="003216A4"/>
    <w:rsid w:val="00325E13"/>
    <w:rsid w:val="003302EF"/>
    <w:rsid w:val="00340328"/>
    <w:rsid w:val="0034199D"/>
    <w:rsid w:val="003570A4"/>
    <w:rsid w:val="003611B8"/>
    <w:rsid w:val="00363528"/>
    <w:rsid w:val="003714D8"/>
    <w:rsid w:val="00375BAD"/>
    <w:rsid w:val="003858A1"/>
    <w:rsid w:val="0039090A"/>
    <w:rsid w:val="003B49BD"/>
    <w:rsid w:val="003C1BE0"/>
    <w:rsid w:val="003C2272"/>
    <w:rsid w:val="003C3ED2"/>
    <w:rsid w:val="003E2B5F"/>
    <w:rsid w:val="003F674D"/>
    <w:rsid w:val="004010A0"/>
    <w:rsid w:val="004028E1"/>
    <w:rsid w:val="00415FB7"/>
    <w:rsid w:val="00423EEA"/>
    <w:rsid w:val="00440552"/>
    <w:rsid w:val="00442380"/>
    <w:rsid w:val="004455BA"/>
    <w:rsid w:val="0045649B"/>
    <w:rsid w:val="004604B5"/>
    <w:rsid w:val="00464E10"/>
    <w:rsid w:val="0046670D"/>
    <w:rsid w:val="00476F85"/>
    <w:rsid w:val="004B4C77"/>
    <w:rsid w:val="004B623C"/>
    <w:rsid w:val="004B7AFA"/>
    <w:rsid w:val="004D669C"/>
    <w:rsid w:val="004D6C6D"/>
    <w:rsid w:val="005246B4"/>
    <w:rsid w:val="00536655"/>
    <w:rsid w:val="00544C21"/>
    <w:rsid w:val="0055404D"/>
    <w:rsid w:val="0057039D"/>
    <w:rsid w:val="0058418B"/>
    <w:rsid w:val="00584DDB"/>
    <w:rsid w:val="00590356"/>
    <w:rsid w:val="00597771"/>
    <w:rsid w:val="005C227F"/>
    <w:rsid w:val="005D26B1"/>
    <w:rsid w:val="005E233E"/>
    <w:rsid w:val="005E23E7"/>
    <w:rsid w:val="005F6F32"/>
    <w:rsid w:val="00607EC2"/>
    <w:rsid w:val="0061128F"/>
    <w:rsid w:val="00620CE5"/>
    <w:rsid w:val="006444A4"/>
    <w:rsid w:val="00644F0E"/>
    <w:rsid w:val="006560F8"/>
    <w:rsid w:val="00656B3F"/>
    <w:rsid w:val="006668CF"/>
    <w:rsid w:val="006712AC"/>
    <w:rsid w:val="00671B57"/>
    <w:rsid w:val="00686181"/>
    <w:rsid w:val="006941C9"/>
    <w:rsid w:val="00694B87"/>
    <w:rsid w:val="00695452"/>
    <w:rsid w:val="00696CA2"/>
    <w:rsid w:val="006977FA"/>
    <w:rsid w:val="006A3DB3"/>
    <w:rsid w:val="006A4977"/>
    <w:rsid w:val="006D4F3B"/>
    <w:rsid w:val="006E22A4"/>
    <w:rsid w:val="006F0D13"/>
    <w:rsid w:val="006F2DBC"/>
    <w:rsid w:val="007133B6"/>
    <w:rsid w:val="00723A39"/>
    <w:rsid w:val="007244E9"/>
    <w:rsid w:val="00741104"/>
    <w:rsid w:val="007679BD"/>
    <w:rsid w:val="00772F84"/>
    <w:rsid w:val="00775D9B"/>
    <w:rsid w:val="00777CE9"/>
    <w:rsid w:val="00777F24"/>
    <w:rsid w:val="00797CA0"/>
    <w:rsid w:val="007A3C84"/>
    <w:rsid w:val="007C2DE0"/>
    <w:rsid w:val="007C5797"/>
    <w:rsid w:val="007F5D1E"/>
    <w:rsid w:val="00800C9E"/>
    <w:rsid w:val="008136D4"/>
    <w:rsid w:val="00817ED5"/>
    <w:rsid w:val="00830FCA"/>
    <w:rsid w:val="008438EC"/>
    <w:rsid w:val="00882DA2"/>
    <w:rsid w:val="00890ADB"/>
    <w:rsid w:val="0089690E"/>
    <w:rsid w:val="00897764"/>
    <w:rsid w:val="008B4A3A"/>
    <w:rsid w:val="008D1CAF"/>
    <w:rsid w:val="008D2299"/>
    <w:rsid w:val="008D553D"/>
    <w:rsid w:val="008D71B5"/>
    <w:rsid w:val="008E64F6"/>
    <w:rsid w:val="008E71D3"/>
    <w:rsid w:val="00912148"/>
    <w:rsid w:val="0091319A"/>
    <w:rsid w:val="00937B3F"/>
    <w:rsid w:val="0094244D"/>
    <w:rsid w:val="00947D31"/>
    <w:rsid w:val="00956C49"/>
    <w:rsid w:val="00966C91"/>
    <w:rsid w:val="009827ED"/>
    <w:rsid w:val="00991F3A"/>
    <w:rsid w:val="00992AFD"/>
    <w:rsid w:val="009A0497"/>
    <w:rsid w:val="009B53A3"/>
    <w:rsid w:val="009D2813"/>
    <w:rsid w:val="009D4D55"/>
    <w:rsid w:val="00A02DF4"/>
    <w:rsid w:val="00A11440"/>
    <w:rsid w:val="00A332CD"/>
    <w:rsid w:val="00A35D47"/>
    <w:rsid w:val="00A55478"/>
    <w:rsid w:val="00A63716"/>
    <w:rsid w:val="00A8677B"/>
    <w:rsid w:val="00A86C62"/>
    <w:rsid w:val="00A956A8"/>
    <w:rsid w:val="00AA7C85"/>
    <w:rsid w:val="00AB0CCF"/>
    <w:rsid w:val="00AB3D7C"/>
    <w:rsid w:val="00AC5087"/>
    <w:rsid w:val="00AC79B0"/>
    <w:rsid w:val="00B13CAB"/>
    <w:rsid w:val="00B14BDD"/>
    <w:rsid w:val="00B23104"/>
    <w:rsid w:val="00B26033"/>
    <w:rsid w:val="00B26A35"/>
    <w:rsid w:val="00B35408"/>
    <w:rsid w:val="00B43A60"/>
    <w:rsid w:val="00B445E4"/>
    <w:rsid w:val="00B51E0F"/>
    <w:rsid w:val="00B63859"/>
    <w:rsid w:val="00B94BA1"/>
    <w:rsid w:val="00BA0D7B"/>
    <w:rsid w:val="00BB1D01"/>
    <w:rsid w:val="00BC0731"/>
    <w:rsid w:val="00BC3FD1"/>
    <w:rsid w:val="00BF1341"/>
    <w:rsid w:val="00C14F50"/>
    <w:rsid w:val="00C33451"/>
    <w:rsid w:val="00C61E5C"/>
    <w:rsid w:val="00C62F08"/>
    <w:rsid w:val="00C847FF"/>
    <w:rsid w:val="00C92409"/>
    <w:rsid w:val="00C94638"/>
    <w:rsid w:val="00C94D8E"/>
    <w:rsid w:val="00C96B21"/>
    <w:rsid w:val="00CB29BB"/>
    <w:rsid w:val="00CC04C5"/>
    <w:rsid w:val="00CD0FA5"/>
    <w:rsid w:val="00CD6B86"/>
    <w:rsid w:val="00CE0534"/>
    <w:rsid w:val="00CE1529"/>
    <w:rsid w:val="00CE5CB4"/>
    <w:rsid w:val="00D06151"/>
    <w:rsid w:val="00D12F7B"/>
    <w:rsid w:val="00D16CA0"/>
    <w:rsid w:val="00D37FC1"/>
    <w:rsid w:val="00D45815"/>
    <w:rsid w:val="00D503E5"/>
    <w:rsid w:val="00D538EF"/>
    <w:rsid w:val="00D56A4A"/>
    <w:rsid w:val="00D62BA5"/>
    <w:rsid w:val="00D64858"/>
    <w:rsid w:val="00D8448D"/>
    <w:rsid w:val="00DA4910"/>
    <w:rsid w:val="00DB3E6D"/>
    <w:rsid w:val="00DC3283"/>
    <w:rsid w:val="00DF1061"/>
    <w:rsid w:val="00DF6B0C"/>
    <w:rsid w:val="00E25769"/>
    <w:rsid w:val="00E5371C"/>
    <w:rsid w:val="00E60768"/>
    <w:rsid w:val="00E6273D"/>
    <w:rsid w:val="00E6427F"/>
    <w:rsid w:val="00E65AA8"/>
    <w:rsid w:val="00E91FAF"/>
    <w:rsid w:val="00E9572B"/>
    <w:rsid w:val="00EA0516"/>
    <w:rsid w:val="00EA3A70"/>
    <w:rsid w:val="00EB1EFC"/>
    <w:rsid w:val="00EB7208"/>
    <w:rsid w:val="00EE07B5"/>
    <w:rsid w:val="00EE6664"/>
    <w:rsid w:val="00F06FD4"/>
    <w:rsid w:val="00F250B9"/>
    <w:rsid w:val="00F3269D"/>
    <w:rsid w:val="00F35071"/>
    <w:rsid w:val="00F50588"/>
    <w:rsid w:val="00F5269E"/>
    <w:rsid w:val="00F57887"/>
    <w:rsid w:val="00F63581"/>
    <w:rsid w:val="00F666AD"/>
    <w:rsid w:val="00F75806"/>
    <w:rsid w:val="00F9495F"/>
    <w:rsid w:val="00F95B53"/>
    <w:rsid w:val="00FA380A"/>
    <w:rsid w:val="00FF629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13CF"/>
  <w15:docId w15:val="{1A027F57-953F-435B-9A12-D0DED8C2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uiPriority w:val="99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pPr>
      <w:spacing w:before="100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55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EB7208"/>
  </w:style>
  <w:style w:type="character" w:customStyle="1" w:styleId="hgkelc">
    <w:name w:val="hgkelc"/>
    <w:basedOn w:val="Policepardfaut"/>
    <w:rsid w:val="001A1433"/>
  </w:style>
  <w:style w:type="paragraph" w:customStyle="1" w:styleId="Standard">
    <w:name w:val="Standard"/>
    <w:rsid w:val="009D2813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\Desktop\Dossiers%20Mairie%20Vplaix\Conseil%20municipal\Compte%20rendu%202021\Compte%20rendu%20conseil%20municipal%20du%20jeudi%2014%20octobre%202021%20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Compte rendu conseil municipal du jeudi 14 octobre 2021 v3.dotx</Template>
  <TotalTime>20</TotalTime>
  <Pages>1</Pages>
  <Words>1323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Mairie VIPLAIX</cp:lastModifiedBy>
  <cp:revision>12</cp:revision>
  <cp:lastPrinted>2023-04-14T08:37:00Z</cp:lastPrinted>
  <dcterms:created xsi:type="dcterms:W3CDTF">2023-04-14T08:19:00Z</dcterms:created>
  <dcterms:modified xsi:type="dcterms:W3CDTF">2023-04-17T11:12:00Z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